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93A1" w14:textId="567AFB66"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w:t>
      </w:r>
      <w:r w:rsidR="005E77E7">
        <w:rPr>
          <w:rFonts w:ascii="Arial" w:eastAsia="Arial Unicode MS" w:hAnsi="Arial" w:hint="eastAsia"/>
          <w:b/>
          <w:bCs/>
          <w:kern w:val="0"/>
          <w:sz w:val="28"/>
          <w:szCs w:val="28"/>
        </w:rPr>
        <w:t>1</w:t>
      </w:r>
      <w:r w:rsidRPr="002C6C08">
        <w:rPr>
          <w:rFonts w:ascii="Arial" w:eastAsia="Arial Unicode MS" w:hAnsi="Arial"/>
          <w:b/>
          <w:bCs/>
          <w:kern w:val="0"/>
          <w:sz w:val="28"/>
          <w:szCs w:val="28"/>
          <w:lang w:eastAsia="en-US"/>
        </w:rPr>
        <w:tab/>
      </w:r>
      <w:r w:rsidR="00862A21" w:rsidRPr="00862A21">
        <w:rPr>
          <w:rFonts w:ascii="Arial" w:eastAsia="Arial Unicode MS" w:hAnsi="Arial"/>
          <w:b/>
          <w:bCs/>
          <w:kern w:val="0"/>
          <w:sz w:val="28"/>
          <w:szCs w:val="28"/>
        </w:rPr>
        <w:t>R2-2301156</w:t>
      </w:r>
    </w:p>
    <w:p w14:paraId="7AC853B0" w14:textId="0593FDB8" w:rsidR="003E16F6" w:rsidRPr="002C6C08" w:rsidRDefault="005E77E7"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Athens, Greece</w:t>
      </w:r>
      <w:r w:rsidR="000C4A4F">
        <w:rPr>
          <w:rFonts w:ascii="Arial" w:eastAsia="Arial Unicode MS" w:hAnsi="Arial"/>
          <w:b/>
          <w:bCs/>
          <w:kern w:val="0"/>
          <w:sz w:val="24"/>
          <w:szCs w:val="20"/>
        </w:rPr>
        <w:t xml:space="preserve">, </w:t>
      </w:r>
      <w:r>
        <w:rPr>
          <w:rFonts w:ascii="Arial" w:eastAsia="Arial Unicode MS" w:hAnsi="Arial"/>
          <w:b/>
          <w:bCs/>
          <w:kern w:val="0"/>
          <w:sz w:val="24"/>
          <w:szCs w:val="20"/>
        </w:rPr>
        <w:t>27 February</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Pr>
          <w:rFonts w:ascii="Arial" w:eastAsia="Arial Unicode MS" w:hAnsi="Arial"/>
          <w:b/>
          <w:bCs/>
          <w:kern w:val="0"/>
          <w:sz w:val="24"/>
          <w:szCs w:val="20"/>
        </w:rPr>
        <w:t>3</w:t>
      </w:r>
      <w:r w:rsidR="00EB0333">
        <w:rPr>
          <w:rFonts w:ascii="Arial" w:eastAsia="Arial Unicode MS" w:hAnsi="Arial"/>
          <w:b/>
          <w:bCs/>
          <w:kern w:val="0"/>
          <w:sz w:val="24"/>
          <w:szCs w:val="20"/>
        </w:rPr>
        <w:t xml:space="preserve"> </w:t>
      </w:r>
      <w:proofErr w:type="gramStart"/>
      <w:r>
        <w:rPr>
          <w:rFonts w:ascii="Arial" w:eastAsia="Arial Unicode MS" w:hAnsi="Arial"/>
          <w:b/>
          <w:bCs/>
          <w:kern w:val="0"/>
          <w:sz w:val="24"/>
          <w:szCs w:val="20"/>
        </w:rPr>
        <w:t>March</w:t>
      </w:r>
      <w:r w:rsidR="003E16F6" w:rsidRPr="002C6C08">
        <w:rPr>
          <w:rFonts w:ascii="Arial" w:eastAsia="Arial Unicode MS" w:hAnsi="Arial" w:hint="eastAsia"/>
          <w:b/>
          <w:bCs/>
          <w:kern w:val="0"/>
          <w:sz w:val="24"/>
          <w:szCs w:val="20"/>
        </w:rPr>
        <w:t>,</w:t>
      </w:r>
      <w:proofErr w:type="gramEnd"/>
      <w:r w:rsidR="00697F60">
        <w:rPr>
          <w:rFonts w:ascii="Arial" w:eastAsia="Arial Unicode MS" w:hAnsi="Arial"/>
          <w:b/>
          <w:bCs/>
          <w:kern w:val="0"/>
          <w:sz w:val="24"/>
          <w:szCs w:val="20"/>
        </w:rPr>
        <w:t xml:space="preserve"> 2022</w:t>
      </w:r>
      <w:r w:rsidR="004C6ADE">
        <w:rPr>
          <w:rFonts w:ascii="Arial" w:eastAsia="Arial Unicode MS" w:hAnsi="Arial"/>
          <w:b/>
          <w:bCs/>
          <w:kern w:val="0"/>
          <w:sz w:val="24"/>
          <w:szCs w:val="20"/>
        </w:rPr>
        <w:tab/>
      </w:r>
      <w:r w:rsidR="004C6ADE" w:rsidRPr="004C6ADE">
        <w:rPr>
          <w:rFonts w:ascii="Arial" w:eastAsia="Arial Unicode MS" w:hAnsi="Arial" w:hint="eastAsia"/>
          <w:kern w:val="0"/>
          <w:sz w:val="18"/>
          <w:szCs w:val="12"/>
        </w:rPr>
        <w:t>r</w:t>
      </w:r>
      <w:r w:rsidR="004C6ADE" w:rsidRPr="004C6ADE">
        <w:rPr>
          <w:rFonts w:ascii="Arial" w:eastAsia="Arial Unicode MS" w:hAnsi="Arial"/>
          <w:kern w:val="0"/>
          <w:sz w:val="18"/>
          <w:szCs w:val="12"/>
        </w:rPr>
        <w:t>evision of R2-2212540</w:t>
      </w:r>
    </w:p>
    <w:p w14:paraId="723F7C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08A0B3BB" w14:textId="5E70F58B"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264D5" w:rsidRPr="006264D5">
        <w:rPr>
          <w:rFonts w:ascii="Arial" w:eastAsia="Arial Unicode MS" w:hAnsi="Arial" w:cs="Arial"/>
          <w:b/>
          <w:bCs/>
          <w:kern w:val="0"/>
          <w:sz w:val="24"/>
          <w:szCs w:val="20"/>
        </w:rPr>
        <w:t>8.4.3 NR-DC with selective activation cell of groups</w:t>
      </w:r>
    </w:p>
    <w:p w14:paraId="181BBD6A" w14:textId="5A4ABA6D"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1E0586" w:rsidRPr="001E0586">
        <w:rPr>
          <w:rFonts w:ascii="Arial" w:eastAsia="Arial Unicode MS" w:hAnsi="Arial" w:cs="Arial"/>
          <w:b/>
          <w:bCs/>
          <w:kern w:val="0"/>
          <w:sz w:val="24"/>
          <w:szCs w:val="20"/>
        </w:rPr>
        <w:t>Discussions on selective SCG activation</w:t>
      </w:r>
    </w:p>
    <w:p w14:paraId="7B3E52FC"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10298B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BA87D9D"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76E63C1C" w14:textId="7382C104" w:rsidR="003B4394" w:rsidRDefault="00057BB0" w:rsidP="003B4394">
      <w:pPr>
        <w:widowControl/>
        <w:rPr>
          <w:rFonts w:ascii="Arial" w:eastAsia="Arial Unicode MS" w:hAnsi="Arial"/>
          <w:kern w:val="0"/>
          <w:sz w:val="20"/>
          <w:szCs w:val="20"/>
        </w:rPr>
      </w:pPr>
      <w:r>
        <w:rPr>
          <w:rFonts w:ascii="Arial" w:eastAsia="Arial Unicode MS" w:hAnsi="Arial"/>
          <w:kern w:val="0"/>
          <w:sz w:val="20"/>
          <w:szCs w:val="20"/>
        </w:rPr>
        <w:t xml:space="preserve">In RAN2#119bis-e, </w:t>
      </w:r>
      <w:r w:rsidR="003B4394">
        <w:rPr>
          <w:rFonts w:ascii="Arial" w:eastAsia="Arial Unicode MS" w:hAnsi="Arial"/>
          <w:kern w:val="0"/>
          <w:sz w:val="20"/>
          <w:szCs w:val="20"/>
        </w:rPr>
        <w:t xml:space="preserve">the baseline procedure of </w:t>
      </w:r>
      <w:r>
        <w:rPr>
          <w:rFonts w:ascii="Arial" w:eastAsia="Arial Unicode MS" w:hAnsi="Arial"/>
          <w:kern w:val="0"/>
          <w:sz w:val="20"/>
          <w:szCs w:val="20"/>
        </w:rPr>
        <w:t>the selective CG activation</w:t>
      </w:r>
      <w:r w:rsidR="003B4394">
        <w:rPr>
          <w:rFonts w:ascii="Arial" w:eastAsia="Arial Unicode MS" w:hAnsi="Arial"/>
          <w:kern w:val="0"/>
          <w:sz w:val="20"/>
          <w:szCs w:val="20"/>
        </w:rPr>
        <w:t xml:space="preserve"> was agreed</w:t>
      </w:r>
      <w:r>
        <w:rPr>
          <w:rFonts w:ascii="Arial" w:eastAsia="Arial Unicode MS" w:hAnsi="Arial"/>
          <w:kern w:val="0"/>
          <w:sz w:val="20"/>
          <w:szCs w:val="20"/>
        </w:rPr>
        <w:t xml:space="preserve"> [1].</w:t>
      </w:r>
      <w:r w:rsidR="003B4394">
        <w:rPr>
          <w:rFonts w:ascii="Arial" w:eastAsia="Arial Unicode MS" w:hAnsi="Arial"/>
          <w:kern w:val="0"/>
          <w:sz w:val="20"/>
          <w:szCs w:val="20"/>
        </w:rPr>
        <w:t xml:space="preserve"> </w:t>
      </w:r>
    </w:p>
    <w:tbl>
      <w:tblPr>
        <w:tblStyle w:val="a8"/>
        <w:tblW w:w="0" w:type="auto"/>
        <w:tblLook w:val="04A0" w:firstRow="1" w:lastRow="0" w:firstColumn="1" w:lastColumn="0" w:noHBand="0" w:noVBand="1"/>
      </w:tblPr>
      <w:tblGrid>
        <w:gridCol w:w="9629"/>
      </w:tblGrid>
      <w:tr w:rsidR="00057BB0" w14:paraId="188BD642" w14:textId="77777777" w:rsidTr="00C65A21">
        <w:tc>
          <w:tcPr>
            <w:tcW w:w="9629" w:type="dxa"/>
          </w:tcPr>
          <w:p w14:paraId="3DD8A93A" w14:textId="77777777" w:rsidR="00057BB0" w:rsidRPr="00BC2717" w:rsidRDefault="00057BB0" w:rsidP="00C65A21">
            <w:pPr>
              <w:pStyle w:val="Agreement"/>
              <w:ind w:leftChars="222" w:left="826"/>
              <w:rPr>
                <w:sz w:val="18"/>
                <w:szCs w:val="18"/>
              </w:rPr>
            </w:pPr>
            <w:r w:rsidRPr="00BC2717">
              <w:rPr>
                <w:sz w:val="18"/>
                <w:szCs w:val="18"/>
              </w:rPr>
              <w:t>Baseline procedure to support subsequent secondary cell group change (FFS if UE keeps all configurations or if those are indicated by the network, FFS support of nested configs):</w:t>
            </w:r>
          </w:p>
          <w:p w14:paraId="3BE0EA37" w14:textId="77777777" w:rsidR="00057BB0" w:rsidRPr="00BC2717" w:rsidRDefault="00057BB0" w:rsidP="00C65A21">
            <w:pPr>
              <w:pStyle w:val="Agreement"/>
              <w:numPr>
                <w:ilvl w:val="0"/>
                <w:numId w:val="0"/>
              </w:numPr>
              <w:ind w:leftChars="393" w:left="825"/>
              <w:rPr>
                <w:sz w:val="18"/>
                <w:szCs w:val="18"/>
              </w:rPr>
            </w:pPr>
            <w:r>
              <w:rPr>
                <w:sz w:val="18"/>
                <w:szCs w:val="18"/>
              </w:rPr>
              <w:t xml:space="preserve">a. </w:t>
            </w:r>
            <w:r w:rsidRPr="00BC2717">
              <w:rPr>
                <w:sz w:val="18"/>
                <w:szCs w:val="18"/>
              </w:rPr>
              <w:t xml:space="preserve">Step 1: when the execution condition of a CPC candidate </w:t>
            </w:r>
            <w:proofErr w:type="spellStart"/>
            <w:r w:rsidRPr="00BC2717">
              <w:rPr>
                <w:sz w:val="18"/>
                <w:szCs w:val="18"/>
              </w:rPr>
              <w:t>PScell</w:t>
            </w:r>
            <w:proofErr w:type="spellEnd"/>
            <w:r w:rsidRPr="00BC2717">
              <w:rPr>
                <w:sz w:val="18"/>
                <w:szCs w:val="18"/>
              </w:rPr>
              <w:t xml:space="preserve"> is met, a UE performs the execution of CPC towards this candidate </w:t>
            </w:r>
            <w:proofErr w:type="spellStart"/>
            <w:r w:rsidRPr="00BC2717">
              <w:rPr>
                <w:sz w:val="18"/>
                <w:szCs w:val="18"/>
              </w:rPr>
              <w:t>PScell</w:t>
            </w:r>
            <w:proofErr w:type="spellEnd"/>
            <w:r w:rsidRPr="00BC2717">
              <w:rPr>
                <w:sz w:val="18"/>
                <w:szCs w:val="18"/>
              </w:rPr>
              <w:t xml:space="preserve">. </w:t>
            </w:r>
          </w:p>
          <w:p w14:paraId="3E861925" w14:textId="77777777" w:rsidR="00057BB0" w:rsidRPr="00BC2717" w:rsidRDefault="00057BB0" w:rsidP="00C65A21">
            <w:pPr>
              <w:pStyle w:val="Agreement"/>
              <w:numPr>
                <w:ilvl w:val="0"/>
                <w:numId w:val="0"/>
              </w:numPr>
              <w:ind w:leftChars="393" w:left="825"/>
              <w:rPr>
                <w:sz w:val="18"/>
                <w:szCs w:val="18"/>
              </w:rPr>
            </w:pPr>
            <w:r>
              <w:rPr>
                <w:sz w:val="18"/>
                <w:szCs w:val="18"/>
              </w:rPr>
              <w:t xml:space="preserve">b. </w:t>
            </w:r>
            <w:r w:rsidRPr="00BC2717">
              <w:rPr>
                <w:sz w:val="18"/>
                <w:szCs w:val="18"/>
              </w:rPr>
              <w:t xml:space="preserve">Step 2: After finishing the </w:t>
            </w:r>
            <w:proofErr w:type="spellStart"/>
            <w:r w:rsidRPr="00BC2717">
              <w:rPr>
                <w:sz w:val="18"/>
                <w:szCs w:val="18"/>
              </w:rPr>
              <w:t>PSCell</w:t>
            </w:r>
            <w:proofErr w:type="spellEnd"/>
            <w:r w:rsidRPr="00BC2717">
              <w:rPr>
                <w:sz w:val="18"/>
                <w:szCs w:val="18"/>
              </w:rPr>
              <w:t xml:space="preserve"> addition or change, the UE doesn’t release conditional configuration of other candidate </w:t>
            </w:r>
            <w:proofErr w:type="spellStart"/>
            <w:r w:rsidRPr="00BC2717">
              <w:rPr>
                <w:sz w:val="18"/>
                <w:szCs w:val="18"/>
              </w:rPr>
              <w:t>PSCells</w:t>
            </w:r>
            <w:proofErr w:type="spellEnd"/>
            <w:r w:rsidRPr="00BC2717">
              <w:rPr>
                <w:sz w:val="18"/>
                <w:szCs w:val="18"/>
              </w:rPr>
              <w:t xml:space="preserve"> for subsequent CPC, the UE continues evaluating the execution conditions of other candidate </w:t>
            </w:r>
            <w:proofErr w:type="spellStart"/>
            <w:r w:rsidRPr="00BC2717">
              <w:rPr>
                <w:sz w:val="18"/>
                <w:szCs w:val="18"/>
              </w:rPr>
              <w:t>PScells</w:t>
            </w:r>
            <w:proofErr w:type="spellEnd"/>
            <w:r w:rsidRPr="00BC2717">
              <w:rPr>
                <w:sz w:val="18"/>
                <w:szCs w:val="18"/>
              </w:rPr>
              <w:t xml:space="preserve">. </w:t>
            </w:r>
          </w:p>
          <w:p w14:paraId="397F8020" w14:textId="77777777" w:rsidR="00057BB0" w:rsidRPr="00BC2717" w:rsidRDefault="00057BB0" w:rsidP="00C65A21">
            <w:pPr>
              <w:pStyle w:val="Agreement"/>
              <w:numPr>
                <w:ilvl w:val="0"/>
                <w:numId w:val="0"/>
              </w:numPr>
              <w:ind w:leftChars="393" w:left="825"/>
              <w:rPr>
                <w:sz w:val="18"/>
                <w:szCs w:val="18"/>
              </w:rPr>
            </w:pPr>
            <w:r>
              <w:rPr>
                <w:sz w:val="18"/>
                <w:szCs w:val="18"/>
              </w:rPr>
              <w:t xml:space="preserve">c. </w:t>
            </w:r>
            <w:r w:rsidRPr="00BC2717">
              <w:rPr>
                <w:sz w:val="18"/>
                <w:szCs w:val="18"/>
              </w:rPr>
              <w:t xml:space="preserve">Step 3: When the execution condition of a candidate </w:t>
            </w:r>
            <w:proofErr w:type="spellStart"/>
            <w:r w:rsidRPr="00BC2717">
              <w:rPr>
                <w:sz w:val="18"/>
                <w:szCs w:val="18"/>
              </w:rPr>
              <w:t>PScell</w:t>
            </w:r>
            <w:proofErr w:type="spellEnd"/>
            <w:r w:rsidRPr="00BC2717">
              <w:rPr>
                <w:sz w:val="18"/>
                <w:szCs w:val="18"/>
              </w:rPr>
              <w:t xml:space="preserve"> is met, the UE performs the execution of CPC towards this candidate </w:t>
            </w:r>
            <w:proofErr w:type="spellStart"/>
            <w:r w:rsidRPr="00BC2717">
              <w:rPr>
                <w:sz w:val="18"/>
                <w:szCs w:val="18"/>
              </w:rPr>
              <w:t>PSCell</w:t>
            </w:r>
            <w:proofErr w:type="spellEnd"/>
            <w:r w:rsidRPr="00BC2717">
              <w:rPr>
                <w:sz w:val="18"/>
                <w:szCs w:val="18"/>
              </w:rPr>
              <w:t>.</w:t>
            </w:r>
          </w:p>
          <w:p w14:paraId="6B6323BD" w14:textId="77777777" w:rsidR="00057BB0" w:rsidRPr="00320A91" w:rsidRDefault="00057BB0" w:rsidP="00C65A21">
            <w:pPr>
              <w:pStyle w:val="Agreement"/>
              <w:ind w:leftChars="222" w:left="826"/>
              <w:rPr>
                <w:sz w:val="18"/>
                <w:szCs w:val="18"/>
                <w:highlight w:val="yellow"/>
              </w:rPr>
            </w:pPr>
            <w:r w:rsidRPr="00320A91">
              <w:rPr>
                <w:sz w:val="18"/>
                <w:szCs w:val="18"/>
                <w:highlight w:val="yellow"/>
              </w:rPr>
              <w:t>Confirm that “CPA” selective activation of cell groups will be supported for this WI objective</w:t>
            </w:r>
          </w:p>
          <w:p w14:paraId="555EFAE0" w14:textId="77777777" w:rsidR="00057BB0" w:rsidRPr="00D7322E" w:rsidRDefault="00057BB0" w:rsidP="00C65A21">
            <w:pPr>
              <w:pStyle w:val="Agreement"/>
              <w:ind w:leftChars="222" w:left="826"/>
              <w:rPr>
                <w:sz w:val="18"/>
                <w:szCs w:val="18"/>
              </w:rPr>
            </w:pPr>
            <w:r w:rsidRPr="00D7322E">
              <w:rPr>
                <w:sz w:val="18"/>
                <w:szCs w:val="18"/>
              </w:rPr>
              <w:t xml:space="preserve">Confirm that we aim to support delta configuration, </w:t>
            </w:r>
            <w:proofErr w:type="gramStart"/>
            <w:r w:rsidRPr="00D7322E">
              <w:rPr>
                <w:sz w:val="18"/>
                <w:szCs w:val="18"/>
              </w:rPr>
              <w:t>i.e.</w:t>
            </w:r>
            <w:proofErr w:type="gramEnd"/>
            <w:r w:rsidRPr="00D7322E">
              <w:rPr>
                <w:sz w:val="18"/>
                <w:szCs w:val="18"/>
              </w:rPr>
              <w:t xml:space="preserve"> that there need to be a known reference.  </w:t>
            </w:r>
          </w:p>
          <w:p w14:paraId="37CB4EE6" w14:textId="77777777" w:rsidR="00057BB0" w:rsidRPr="00BC2717" w:rsidRDefault="00057BB0" w:rsidP="00C65A21">
            <w:pPr>
              <w:pStyle w:val="Agreement"/>
              <w:ind w:leftChars="222" w:left="826"/>
              <w:rPr>
                <w:sz w:val="18"/>
                <w:szCs w:val="18"/>
              </w:rPr>
            </w:pPr>
            <w:r w:rsidRPr="00BC2717">
              <w:rPr>
                <w:sz w:val="18"/>
                <w:szCs w:val="18"/>
              </w:rPr>
              <w:t xml:space="preserve">RAN2 aim to support selective activation of cell groups without RRC reconfiguration with respect to security (FFS, need to consult with SA3 at some point in time). </w:t>
            </w:r>
          </w:p>
          <w:p w14:paraId="0D9E9A23" w14:textId="77777777" w:rsidR="00057BB0" w:rsidRDefault="00057BB0" w:rsidP="00C65A21">
            <w:pPr>
              <w:widowControl/>
              <w:rPr>
                <w:rFonts w:ascii="Arial" w:eastAsia="Arial Unicode MS" w:hAnsi="Arial"/>
                <w:kern w:val="0"/>
                <w:sz w:val="20"/>
                <w:szCs w:val="20"/>
              </w:rPr>
            </w:pPr>
          </w:p>
        </w:tc>
      </w:tr>
    </w:tbl>
    <w:p w14:paraId="47A75587" w14:textId="7A33B694" w:rsidR="00057BB0" w:rsidRDefault="00057BB0" w:rsidP="00057BB0">
      <w:pPr>
        <w:widowControl/>
        <w:rPr>
          <w:rFonts w:ascii="Arial" w:eastAsia="Arial Unicode MS" w:hAnsi="Arial"/>
          <w:kern w:val="0"/>
          <w:sz w:val="20"/>
          <w:szCs w:val="20"/>
        </w:rPr>
      </w:pPr>
    </w:p>
    <w:p w14:paraId="176054B5" w14:textId="77777777" w:rsidR="003B4394" w:rsidRDefault="003B4394" w:rsidP="003B4394">
      <w:pPr>
        <w:widowControl/>
        <w:rPr>
          <w:rFonts w:ascii="Arial" w:eastAsia="Arial Unicode MS" w:hAnsi="Arial"/>
          <w:kern w:val="0"/>
          <w:sz w:val="20"/>
          <w:szCs w:val="20"/>
        </w:rPr>
      </w:pPr>
      <w:r>
        <w:rPr>
          <w:rFonts w:ascii="Arial" w:eastAsia="Arial Unicode MS" w:hAnsi="Arial"/>
          <w:kern w:val="0"/>
          <w:sz w:val="20"/>
          <w:szCs w:val="20"/>
        </w:rPr>
        <w:t>In RAN2#120, there were some more agreements [2] and the LS to SA3 is approved for security aspects [3].</w:t>
      </w:r>
    </w:p>
    <w:tbl>
      <w:tblPr>
        <w:tblStyle w:val="a8"/>
        <w:tblW w:w="0" w:type="auto"/>
        <w:tblLook w:val="04A0" w:firstRow="1" w:lastRow="0" w:firstColumn="1" w:lastColumn="0" w:noHBand="0" w:noVBand="1"/>
      </w:tblPr>
      <w:tblGrid>
        <w:gridCol w:w="9629"/>
      </w:tblGrid>
      <w:tr w:rsidR="003B4394" w14:paraId="050C177C" w14:textId="77777777" w:rsidTr="00C65A21">
        <w:tc>
          <w:tcPr>
            <w:tcW w:w="9629" w:type="dxa"/>
          </w:tcPr>
          <w:p w14:paraId="0A4838C9" w14:textId="77777777" w:rsidR="003B4394" w:rsidRPr="00D7322E" w:rsidRDefault="003B4394" w:rsidP="00C65A21">
            <w:pPr>
              <w:pStyle w:val="Doc-text2"/>
              <w:ind w:leftChars="222" w:left="829"/>
              <w:rPr>
                <w:b/>
                <w:bCs/>
                <w:sz w:val="18"/>
                <w:szCs w:val="22"/>
                <w:highlight w:val="yellow"/>
              </w:rPr>
            </w:pPr>
            <w:r w:rsidRPr="00D7322E">
              <w:rPr>
                <w:b/>
                <w:bCs/>
                <w:sz w:val="18"/>
                <w:szCs w:val="22"/>
                <w:highlight w:val="yellow"/>
              </w:rPr>
              <w:t>Delta configuration</w:t>
            </w:r>
          </w:p>
          <w:p w14:paraId="0FB72A93" w14:textId="77777777" w:rsidR="003B4394" w:rsidRPr="00D7322E" w:rsidRDefault="003B4394" w:rsidP="00C65A21">
            <w:pPr>
              <w:pStyle w:val="Agreement"/>
              <w:ind w:leftChars="222" w:left="826"/>
              <w:rPr>
                <w:sz w:val="18"/>
                <w:szCs w:val="22"/>
                <w:highlight w:val="yellow"/>
              </w:rPr>
            </w:pPr>
            <w:r w:rsidRPr="00D7322E">
              <w:rPr>
                <w:sz w:val="18"/>
                <w:szCs w:val="22"/>
                <w:highlight w:val="yellow"/>
              </w:rPr>
              <w:t>A UE stores the reference configuration as a separate configuration.</w:t>
            </w:r>
          </w:p>
          <w:p w14:paraId="00E8FBAF" w14:textId="77777777" w:rsidR="003B4394" w:rsidRPr="003B4394" w:rsidRDefault="003B4394" w:rsidP="00C65A21">
            <w:pPr>
              <w:pStyle w:val="Agreement"/>
              <w:ind w:leftChars="222" w:left="826"/>
            </w:pPr>
            <w:r w:rsidRPr="00D7322E">
              <w:rPr>
                <w:sz w:val="18"/>
                <w:szCs w:val="22"/>
                <w:highlight w:val="yellow"/>
              </w:rPr>
              <w:t>The reference configuration is managed separately</w:t>
            </w:r>
            <w:r w:rsidRPr="00D7322E">
              <w:rPr>
                <w:sz w:val="18"/>
                <w:szCs w:val="22"/>
              </w:rPr>
              <w:t xml:space="preserve"> </w:t>
            </w:r>
          </w:p>
        </w:tc>
      </w:tr>
    </w:tbl>
    <w:p w14:paraId="2CF03CFC" w14:textId="77777777" w:rsidR="003B4394" w:rsidRPr="003B4394" w:rsidRDefault="003B4394" w:rsidP="00057BB0">
      <w:pPr>
        <w:widowControl/>
        <w:rPr>
          <w:rFonts w:ascii="Arial" w:eastAsia="Arial Unicode MS" w:hAnsi="Arial"/>
          <w:kern w:val="0"/>
          <w:sz w:val="20"/>
          <w:szCs w:val="20"/>
        </w:rPr>
      </w:pPr>
    </w:p>
    <w:p w14:paraId="1F0427D9" w14:textId="493945F2" w:rsidR="003E16F6" w:rsidRPr="002C6C08" w:rsidRDefault="00057BB0" w:rsidP="003E16F6">
      <w:pPr>
        <w:widowControl/>
        <w:rPr>
          <w:rFonts w:ascii="Arial" w:eastAsia="Arial Unicode MS" w:hAnsi="Arial"/>
          <w:kern w:val="0"/>
          <w:sz w:val="20"/>
          <w:szCs w:val="20"/>
        </w:rPr>
      </w:pPr>
      <w:r>
        <w:rPr>
          <w:rFonts w:ascii="Arial" w:eastAsia="Arial Unicode MS" w:hAnsi="Arial" w:hint="eastAsia"/>
          <w:kern w:val="0"/>
          <w:sz w:val="20"/>
          <w:szCs w:val="20"/>
        </w:rPr>
        <w:t>A</w:t>
      </w:r>
      <w:r>
        <w:rPr>
          <w:rFonts w:ascii="Arial" w:eastAsia="Arial Unicode MS" w:hAnsi="Arial"/>
          <w:kern w:val="0"/>
          <w:sz w:val="20"/>
          <w:szCs w:val="20"/>
        </w:rPr>
        <w:t xml:space="preserve">mong the agreements, some aspects need more clarifications. In this contribution, we discuss about CPA selective activation of CG and delta configuration in selective SCG activation. </w:t>
      </w:r>
      <w:r w:rsidR="00F144A2">
        <w:rPr>
          <w:rFonts w:ascii="Arial" w:eastAsia="Arial Unicode MS" w:hAnsi="Arial"/>
          <w:kern w:val="0"/>
          <w:sz w:val="20"/>
          <w:szCs w:val="20"/>
        </w:rPr>
        <w:t>We also discuss a naming issue discussed in RAN2#120</w:t>
      </w:r>
      <w:r>
        <w:rPr>
          <w:rFonts w:ascii="Arial" w:eastAsia="Arial Unicode MS" w:hAnsi="Arial"/>
          <w:kern w:val="0"/>
          <w:sz w:val="20"/>
          <w:szCs w:val="20"/>
        </w:rPr>
        <w:t>.</w:t>
      </w:r>
    </w:p>
    <w:p w14:paraId="7D796C85"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28E9D49D" w14:textId="77777777" w:rsidR="00057BB0" w:rsidRPr="002C6C08" w:rsidRDefault="00057BB0" w:rsidP="00057BB0">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Pr>
          <w:rFonts w:ascii="Arial" w:hAnsi="Arial"/>
          <w:kern w:val="0"/>
          <w:sz w:val="28"/>
          <w:szCs w:val="20"/>
        </w:rPr>
        <w:t>CPA selective activation</w:t>
      </w:r>
    </w:p>
    <w:p w14:paraId="2D8E488E" w14:textId="14C4AC75" w:rsidR="00057BB0" w:rsidRDefault="00057BB0" w:rsidP="00057BB0">
      <w:pPr>
        <w:widowControl/>
        <w:spacing w:after="120" w:line="240" w:lineRule="atLeast"/>
        <w:rPr>
          <w:rFonts w:ascii="Arial" w:hAnsi="Arial"/>
          <w:kern w:val="0"/>
          <w:sz w:val="20"/>
          <w:szCs w:val="20"/>
        </w:rPr>
      </w:pPr>
      <w:r>
        <w:rPr>
          <w:rFonts w:ascii="Arial" w:hAnsi="Arial"/>
          <w:kern w:val="0"/>
          <w:sz w:val="20"/>
          <w:szCs w:val="20"/>
        </w:rPr>
        <w:t xml:space="preserve">In the </w:t>
      </w:r>
      <w:r w:rsidR="00F144A2">
        <w:rPr>
          <w:rFonts w:ascii="Arial" w:hAnsi="Arial"/>
          <w:kern w:val="0"/>
          <w:sz w:val="20"/>
          <w:szCs w:val="20"/>
        </w:rPr>
        <w:t>RAN2#119bis-e</w:t>
      </w:r>
      <w:r>
        <w:rPr>
          <w:rFonts w:ascii="Arial" w:hAnsi="Arial"/>
          <w:kern w:val="0"/>
          <w:sz w:val="20"/>
          <w:szCs w:val="20"/>
        </w:rPr>
        <w:t xml:space="preserve">, it was confirmed that the CPA selective CG activation will be supported. However, the scenario is still not very clear. It should be further clarified what scenarios are to be supported. Needless to say, the CPA is applied for the beginning of the NR-DC operation, when there is no SCG yet. Only the </w:t>
      </w:r>
      <w:proofErr w:type="spellStart"/>
      <w:r>
        <w:rPr>
          <w:rFonts w:ascii="Arial" w:hAnsi="Arial"/>
          <w:kern w:val="0"/>
          <w:sz w:val="20"/>
          <w:szCs w:val="20"/>
        </w:rPr>
        <w:t>gNB</w:t>
      </w:r>
      <w:proofErr w:type="spellEnd"/>
      <w:r>
        <w:rPr>
          <w:rFonts w:ascii="Arial" w:hAnsi="Arial"/>
          <w:kern w:val="0"/>
          <w:sz w:val="20"/>
          <w:szCs w:val="20"/>
        </w:rPr>
        <w:t xml:space="preserve"> (to be MN) can configure the CPA.</w:t>
      </w:r>
    </w:p>
    <w:p w14:paraId="468227EF" w14:textId="77777777" w:rsidR="00057BB0" w:rsidRDefault="00057BB0" w:rsidP="00057BB0">
      <w:pPr>
        <w:widowControl/>
        <w:spacing w:after="120" w:line="240" w:lineRule="atLeast"/>
        <w:rPr>
          <w:rFonts w:ascii="Arial" w:hAnsi="Arial"/>
          <w:kern w:val="0"/>
          <w:sz w:val="20"/>
          <w:szCs w:val="20"/>
        </w:rPr>
      </w:pPr>
      <w:r>
        <w:rPr>
          <w:rFonts w:ascii="Arial" w:hAnsi="Arial"/>
          <w:kern w:val="0"/>
          <w:sz w:val="20"/>
          <w:szCs w:val="20"/>
        </w:rPr>
        <w:t xml:space="preserve">If the CPA selective CG activation means to apply the (pre-)configuration for the subsequent CPA, it happens only after releasing the SCG which may be configured by CPA or legacy SCG addition. On the other hand, if it means to apply the (pre-)configuration of CPA for the subsequent CPC, the CPA configuration is applied as the CPC configuration. However, there are fundamental differences between CPA and CPC. For example, the execution condition of CPA may be based on the </w:t>
      </w:r>
      <w:proofErr w:type="spellStart"/>
      <w:r>
        <w:rPr>
          <w:rFonts w:ascii="Arial" w:hAnsi="Arial"/>
          <w:kern w:val="0"/>
          <w:sz w:val="20"/>
          <w:szCs w:val="20"/>
        </w:rPr>
        <w:t>CondEvent</w:t>
      </w:r>
      <w:proofErr w:type="spellEnd"/>
      <w:r>
        <w:rPr>
          <w:rFonts w:ascii="Arial" w:hAnsi="Arial"/>
          <w:kern w:val="0"/>
          <w:sz w:val="20"/>
          <w:szCs w:val="20"/>
        </w:rPr>
        <w:t xml:space="preserve"> A4 (</w:t>
      </w:r>
      <w:r w:rsidRPr="001270C3">
        <w:rPr>
          <w:rFonts w:ascii="Arial" w:hAnsi="Arial"/>
          <w:i/>
          <w:kern w:val="0"/>
          <w:sz w:val="20"/>
          <w:szCs w:val="20"/>
        </w:rPr>
        <w:t>Conditional reconfiguration candidate becomes better than absolute threshold</w:t>
      </w:r>
      <w:r>
        <w:rPr>
          <w:rFonts w:ascii="Arial" w:hAnsi="Arial"/>
          <w:kern w:val="0"/>
          <w:sz w:val="20"/>
          <w:szCs w:val="20"/>
        </w:rPr>
        <w:t xml:space="preserve">), while that of CPC can be based on the </w:t>
      </w:r>
      <w:proofErr w:type="spellStart"/>
      <w:r>
        <w:rPr>
          <w:rFonts w:ascii="Arial" w:hAnsi="Arial"/>
          <w:kern w:val="0"/>
          <w:sz w:val="20"/>
          <w:szCs w:val="20"/>
        </w:rPr>
        <w:t>CondEvent</w:t>
      </w:r>
      <w:proofErr w:type="spellEnd"/>
      <w:r>
        <w:rPr>
          <w:rFonts w:ascii="Arial" w:hAnsi="Arial"/>
          <w:kern w:val="0"/>
          <w:sz w:val="20"/>
          <w:szCs w:val="20"/>
        </w:rPr>
        <w:t xml:space="preserve"> A3 (</w:t>
      </w:r>
      <w:r w:rsidRPr="001270C3">
        <w:rPr>
          <w:rFonts w:ascii="Arial" w:hAnsi="Arial"/>
          <w:i/>
          <w:kern w:val="0"/>
          <w:sz w:val="20"/>
          <w:szCs w:val="20"/>
        </w:rPr>
        <w:t xml:space="preserve">Conditional reconfiguration candidate becomes amount of offset better than </w:t>
      </w:r>
      <w:proofErr w:type="spellStart"/>
      <w:r w:rsidRPr="001270C3">
        <w:rPr>
          <w:rFonts w:ascii="Arial" w:hAnsi="Arial"/>
          <w:i/>
          <w:kern w:val="0"/>
          <w:sz w:val="20"/>
          <w:szCs w:val="20"/>
        </w:rPr>
        <w:t>PCell</w:t>
      </w:r>
      <w:proofErr w:type="spellEnd"/>
      <w:r w:rsidRPr="001270C3">
        <w:rPr>
          <w:rFonts w:ascii="Arial" w:hAnsi="Arial"/>
          <w:i/>
          <w:kern w:val="0"/>
          <w:sz w:val="20"/>
          <w:szCs w:val="20"/>
        </w:rPr>
        <w:t>/</w:t>
      </w:r>
      <w:proofErr w:type="spellStart"/>
      <w:r w:rsidRPr="001270C3">
        <w:rPr>
          <w:rFonts w:ascii="Arial" w:hAnsi="Arial"/>
          <w:i/>
          <w:kern w:val="0"/>
          <w:sz w:val="20"/>
          <w:szCs w:val="20"/>
        </w:rPr>
        <w:t>PSCell</w:t>
      </w:r>
      <w:proofErr w:type="spellEnd"/>
      <w:r>
        <w:rPr>
          <w:rFonts w:ascii="Arial" w:hAnsi="Arial"/>
          <w:kern w:val="0"/>
          <w:sz w:val="20"/>
          <w:szCs w:val="20"/>
        </w:rPr>
        <w:t>) or A5 (</w:t>
      </w:r>
      <w:proofErr w:type="spellStart"/>
      <w:r w:rsidRPr="001270C3">
        <w:rPr>
          <w:rFonts w:ascii="Arial" w:hAnsi="Arial"/>
          <w:i/>
          <w:kern w:val="0"/>
          <w:sz w:val="20"/>
          <w:szCs w:val="20"/>
        </w:rPr>
        <w:t>PCell</w:t>
      </w:r>
      <w:proofErr w:type="spellEnd"/>
      <w:r w:rsidRPr="001270C3">
        <w:rPr>
          <w:rFonts w:ascii="Arial" w:hAnsi="Arial"/>
          <w:i/>
          <w:kern w:val="0"/>
          <w:sz w:val="20"/>
          <w:szCs w:val="20"/>
        </w:rPr>
        <w:t>/</w:t>
      </w:r>
      <w:proofErr w:type="spellStart"/>
      <w:r w:rsidRPr="001270C3">
        <w:rPr>
          <w:rFonts w:ascii="Arial" w:hAnsi="Arial"/>
          <w:i/>
          <w:kern w:val="0"/>
          <w:sz w:val="20"/>
          <w:szCs w:val="20"/>
        </w:rPr>
        <w:t>PSCell</w:t>
      </w:r>
      <w:proofErr w:type="spellEnd"/>
      <w:r w:rsidRPr="001270C3">
        <w:rPr>
          <w:rFonts w:ascii="Arial" w:hAnsi="Arial"/>
          <w:i/>
          <w:kern w:val="0"/>
          <w:sz w:val="20"/>
          <w:szCs w:val="20"/>
        </w:rPr>
        <w:t xml:space="preserve"> becomes worse than absolute threshold1 AND Conditional reconfiguration candidate becomes better than another absolute threshold2</w:t>
      </w:r>
      <w:r>
        <w:rPr>
          <w:rFonts w:ascii="Arial" w:hAnsi="Arial"/>
          <w:kern w:val="0"/>
          <w:sz w:val="20"/>
          <w:szCs w:val="20"/>
        </w:rPr>
        <w:t>). In addition, there is no source SCG configuration for CPA and thus no delta configuration for CPA basically. We do not think it is really useful considering that additional complexity is expected.</w:t>
      </w:r>
    </w:p>
    <w:p w14:paraId="0A42C615" w14:textId="360A5925" w:rsidR="00057BB0" w:rsidRPr="002C6C08" w:rsidRDefault="00057BB0" w:rsidP="00057BB0">
      <w:pPr>
        <w:widowControl/>
        <w:spacing w:after="120" w:line="240" w:lineRule="atLeast"/>
        <w:rPr>
          <w:rFonts w:ascii="Arial" w:hAnsi="Arial"/>
          <w:kern w:val="0"/>
          <w:sz w:val="20"/>
          <w:szCs w:val="20"/>
        </w:rPr>
      </w:pPr>
      <w:r>
        <w:rPr>
          <w:rFonts w:ascii="Arial" w:hAnsi="Arial"/>
          <w:kern w:val="0"/>
          <w:sz w:val="20"/>
          <w:szCs w:val="20"/>
        </w:rPr>
        <w:lastRenderedPageBreak/>
        <w:t>Based on these observations, we assume the meaning of the previous agreement is that the former case, i.e. (pre-)configuration of the CPA is applied for the subsequent CPA after releasing the SCG.</w:t>
      </w:r>
      <w:r w:rsidR="00AF2EAA">
        <w:rPr>
          <w:rFonts w:ascii="Arial" w:hAnsi="Arial"/>
          <w:kern w:val="0"/>
          <w:sz w:val="20"/>
          <w:szCs w:val="20"/>
        </w:rPr>
        <w:t xml:space="preserve"> RAN2 needs to discuss and confirm the common understanding.</w:t>
      </w:r>
    </w:p>
    <w:p w14:paraId="3EB5C754" w14:textId="77777777" w:rsidR="00057BB0" w:rsidRDefault="00057BB0" w:rsidP="00057BB0">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 xml:space="preserve">RAN2 to further discuss the actual meaning of </w:t>
      </w:r>
      <w:r w:rsidRPr="007906B3">
        <w:rPr>
          <w:rFonts w:ascii="Arial" w:hAnsi="Arial" w:hint="eastAsia"/>
          <w:b/>
          <w:kern w:val="0"/>
          <w:sz w:val="20"/>
          <w:szCs w:val="20"/>
        </w:rPr>
        <w:t>“</w:t>
      </w:r>
      <w:r w:rsidRPr="007906B3">
        <w:rPr>
          <w:rFonts w:ascii="Arial" w:hAnsi="Arial"/>
          <w:b/>
          <w:kern w:val="0"/>
          <w:sz w:val="20"/>
          <w:szCs w:val="20"/>
        </w:rPr>
        <w:t>CPA” selective activation of cell groups</w:t>
      </w:r>
      <w:r>
        <w:rPr>
          <w:rFonts w:ascii="Arial" w:hAnsi="Arial"/>
          <w:b/>
          <w:kern w:val="0"/>
          <w:sz w:val="20"/>
          <w:szCs w:val="20"/>
        </w:rPr>
        <w:t xml:space="preserve"> among two interpretations:</w:t>
      </w:r>
    </w:p>
    <w:p w14:paraId="5EACC817" w14:textId="77777777" w:rsidR="00057BB0" w:rsidRPr="001270C3" w:rsidRDefault="00057BB0" w:rsidP="00057BB0">
      <w:pPr>
        <w:pStyle w:val="a9"/>
        <w:widowControl/>
        <w:numPr>
          <w:ilvl w:val="0"/>
          <w:numId w:val="2"/>
        </w:numPr>
        <w:spacing w:before="60" w:after="120" w:line="240" w:lineRule="atLeast"/>
        <w:ind w:leftChars="0"/>
        <w:rPr>
          <w:rFonts w:ascii="Arial" w:hAnsi="Arial"/>
          <w:b/>
          <w:kern w:val="0"/>
          <w:sz w:val="20"/>
          <w:szCs w:val="20"/>
        </w:rPr>
      </w:pPr>
      <w:r w:rsidRPr="001270C3">
        <w:rPr>
          <w:rFonts w:ascii="Arial" w:hAnsi="Arial"/>
          <w:b/>
          <w:kern w:val="0"/>
          <w:sz w:val="20"/>
          <w:szCs w:val="20"/>
        </w:rPr>
        <w:t xml:space="preserve">Interpretation 1: </w:t>
      </w:r>
      <w:r>
        <w:rPr>
          <w:rFonts w:ascii="Arial" w:hAnsi="Arial"/>
          <w:b/>
          <w:kern w:val="0"/>
          <w:sz w:val="20"/>
          <w:szCs w:val="20"/>
        </w:rPr>
        <w:t>CPA configuration is reused for subsequent CPA after once SCG is released.</w:t>
      </w:r>
    </w:p>
    <w:p w14:paraId="25850DBF" w14:textId="77777777" w:rsidR="00057BB0" w:rsidRPr="001270C3" w:rsidRDefault="00057BB0" w:rsidP="00057BB0">
      <w:pPr>
        <w:pStyle w:val="a9"/>
        <w:widowControl/>
        <w:numPr>
          <w:ilvl w:val="0"/>
          <w:numId w:val="2"/>
        </w:numPr>
        <w:spacing w:before="60" w:after="120" w:line="240" w:lineRule="atLeast"/>
        <w:ind w:leftChars="0"/>
        <w:rPr>
          <w:rFonts w:ascii="Arial" w:hAnsi="Arial"/>
          <w:b/>
          <w:kern w:val="0"/>
          <w:sz w:val="20"/>
          <w:szCs w:val="20"/>
        </w:rPr>
      </w:pPr>
      <w:r w:rsidRPr="001270C3">
        <w:rPr>
          <w:rFonts w:ascii="Arial" w:hAnsi="Arial"/>
          <w:b/>
          <w:kern w:val="0"/>
          <w:sz w:val="20"/>
          <w:szCs w:val="20"/>
        </w:rPr>
        <w:t xml:space="preserve">Interpretation 2: </w:t>
      </w:r>
      <w:r>
        <w:rPr>
          <w:rFonts w:ascii="Arial" w:hAnsi="Arial"/>
          <w:b/>
          <w:kern w:val="0"/>
          <w:sz w:val="20"/>
          <w:szCs w:val="20"/>
        </w:rPr>
        <w:t>CPA configuration is reused for subsequent CPC after SCG is added</w:t>
      </w:r>
      <w:r w:rsidRPr="001270C3">
        <w:rPr>
          <w:rFonts w:ascii="Arial" w:hAnsi="Arial"/>
          <w:b/>
          <w:kern w:val="0"/>
          <w:sz w:val="20"/>
          <w:szCs w:val="20"/>
        </w:rPr>
        <w:t>.</w:t>
      </w:r>
    </w:p>
    <w:p w14:paraId="7C6D27BB" w14:textId="77777777" w:rsidR="00057BB0" w:rsidRPr="002C6C08" w:rsidRDefault="00057BB0" w:rsidP="00057BB0">
      <w:pPr>
        <w:widowControl/>
        <w:spacing w:after="120" w:line="240" w:lineRule="atLeast"/>
        <w:rPr>
          <w:rFonts w:ascii="Arial" w:hAnsi="Arial"/>
          <w:kern w:val="0"/>
          <w:sz w:val="20"/>
          <w:szCs w:val="20"/>
        </w:rPr>
      </w:pPr>
    </w:p>
    <w:p w14:paraId="029A3EDA" w14:textId="77777777" w:rsidR="00057BB0" w:rsidRPr="002C6C08" w:rsidRDefault="00057BB0" w:rsidP="00057BB0">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Delta configuration</w:t>
      </w:r>
    </w:p>
    <w:p w14:paraId="47B5C596" w14:textId="20A9F18C" w:rsidR="00F144A2" w:rsidRDefault="00057BB0" w:rsidP="00057BB0">
      <w:pPr>
        <w:widowControl/>
        <w:spacing w:after="120" w:line="240" w:lineRule="atLeast"/>
        <w:rPr>
          <w:rFonts w:ascii="Arial" w:hAnsi="Arial"/>
          <w:kern w:val="0"/>
          <w:sz w:val="20"/>
          <w:szCs w:val="20"/>
        </w:rPr>
      </w:pPr>
      <w:r>
        <w:rPr>
          <w:rFonts w:ascii="Arial" w:hAnsi="Arial"/>
          <w:kern w:val="0"/>
          <w:sz w:val="20"/>
          <w:szCs w:val="20"/>
        </w:rPr>
        <w:t>The support of delta configuration has been confirmed with assuming to use a known reference configuration</w:t>
      </w:r>
      <w:r w:rsidR="001634C2">
        <w:rPr>
          <w:rFonts w:ascii="Arial" w:hAnsi="Arial"/>
          <w:kern w:val="0"/>
          <w:sz w:val="20"/>
          <w:szCs w:val="20"/>
        </w:rPr>
        <w:t xml:space="preserve"> which is stored and managed separately by the UE</w:t>
      </w:r>
      <w:r>
        <w:rPr>
          <w:rFonts w:ascii="Arial" w:hAnsi="Arial"/>
          <w:kern w:val="0"/>
          <w:sz w:val="20"/>
          <w:szCs w:val="20"/>
        </w:rPr>
        <w:t xml:space="preserve">. Similar to the L1/L2 triggered mobility (LTM), a question is what the reference configuration </w:t>
      </w:r>
      <w:r w:rsidR="001634C2">
        <w:rPr>
          <w:rFonts w:ascii="Arial" w:hAnsi="Arial"/>
          <w:kern w:val="0"/>
          <w:sz w:val="20"/>
          <w:szCs w:val="20"/>
        </w:rPr>
        <w:t>can be</w:t>
      </w:r>
      <w:r>
        <w:rPr>
          <w:rFonts w:ascii="Arial" w:hAnsi="Arial"/>
          <w:kern w:val="0"/>
          <w:sz w:val="20"/>
          <w:szCs w:val="20"/>
        </w:rPr>
        <w:t>.</w:t>
      </w:r>
    </w:p>
    <w:p w14:paraId="3A488DDE" w14:textId="6401D9D4" w:rsidR="001634C2" w:rsidRPr="00B52A0C" w:rsidRDefault="001634C2" w:rsidP="001634C2">
      <w:pPr>
        <w:widowControl/>
        <w:spacing w:after="120" w:line="240" w:lineRule="atLeast"/>
        <w:rPr>
          <w:rFonts w:ascii="Arial" w:hAnsi="Arial"/>
          <w:kern w:val="0"/>
          <w:sz w:val="20"/>
          <w:szCs w:val="20"/>
        </w:rPr>
      </w:pPr>
      <w:r>
        <w:rPr>
          <w:rFonts w:ascii="Arial" w:hAnsi="Arial"/>
          <w:kern w:val="0"/>
          <w:sz w:val="20"/>
          <w:szCs w:val="20"/>
        </w:rPr>
        <w:t>We assume that the source RAN node (MN in MN-initiated CPC and SN in SN-initiated CPC) can provide the reference configuration to candidate target SNs during the CPC preparation. Note that in the case of MN-initiated CPC, the MN can send the query to the source SN to get the source SCG configuration.</w:t>
      </w:r>
      <w:r>
        <w:rPr>
          <w:rFonts w:ascii="Arial" w:hAnsi="Arial" w:hint="eastAsia"/>
          <w:kern w:val="0"/>
          <w:sz w:val="20"/>
          <w:szCs w:val="20"/>
        </w:rPr>
        <w:t xml:space="preserve"> </w:t>
      </w:r>
      <w:r>
        <w:rPr>
          <w:rFonts w:ascii="Arial" w:hAnsi="Arial"/>
          <w:kern w:val="0"/>
          <w:sz w:val="20"/>
          <w:szCs w:val="20"/>
        </w:rPr>
        <w:t>It is straightforward to consider that the reference configuration is the current configuration in the source SCG/SN (</w:t>
      </w:r>
      <w:proofErr w:type="gramStart"/>
      <w:r>
        <w:rPr>
          <w:rFonts w:ascii="Arial" w:hAnsi="Arial"/>
          <w:kern w:val="0"/>
          <w:sz w:val="20"/>
          <w:szCs w:val="20"/>
        </w:rPr>
        <w:t>i.e.</w:t>
      </w:r>
      <w:proofErr w:type="gramEnd"/>
      <w:r>
        <w:rPr>
          <w:rFonts w:ascii="Arial" w:hAnsi="Arial"/>
          <w:kern w:val="0"/>
          <w:sz w:val="20"/>
          <w:szCs w:val="20"/>
        </w:rPr>
        <w:t xml:space="preserve"> source SCG configuration at the CPC preparation) like legacy CPC procedure, not another specific configuration.</w:t>
      </w:r>
      <w:r w:rsidR="00CF03C8" w:rsidRPr="00CF03C8">
        <w:rPr>
          <w:rFonts w:ascii="Arial" w:hAnsi="Arial"/>
          <w:kern w:val="0"/>
          <w:sz w:val="20"/>
          <w:szCs w:val="20"/>
        </w:rPr>
        <w:t xml:space="preserve"> </w:t>
      </w:r>
      <w:r w:rsidR="00CF03C8">
        <w:rPr>
          <w:rFonts w:ascii="Arial" w:hAnsi="Arial"/>
          <w:kern w:val="0"/>
          <w:sz w:val="20"/>
          <w:szCs w:val="20"/>
        </w:rPr>
        <w:t xml:space="preserve">On the other hand, if a specific configuration is used as the reference configuration, the </w:t>
      </w:r>
      <w:r w:rsidR="003126DE">
        <w:rPr>
          <w:rFonts w:ascii="Arial" w:hAnsi="Arial"/>
          <w:kern w:val="0"/>
          <w:sz w:val="20"/>
          <w:szCs w:val="20"/>
        </w:rPr>
        <w:t xml:space="preserve">source RAN node </w:t>
      </w:r>
      <w:r w:rsidR="00CF03C8">
        <w:rPr>
          <w:rFonts w:ascii="Arial" w:hAnsi="Arial"/>
          <w:kern w:val="0"/>
          <w:sz w:val="20"/>
          <w:szCs w:val="20"/>
        </w:rPr>
        <w:t>has to send also the reference configuration to the UE, which increases a signalling overhead.</w:t>
      </w:r>
    </w:p>
    <w:p w14:paraId="0C7746B5" w14:textId="360E864A" w:rsidR="001634C2" w:rsidRPr="002C6C08" w:rsidRDefault="001634C2" w:rsidP="001634C2">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 xml:space="preserve">RAN2 to </w:t>
      </w:r>
      <w:r w:rsidR="00FF26B9">
        <w:rPr>
          <w:rFonts w:ascii="Arial" w:hAnsi="Arial" w:hint="eastAsia"/>
          <w:b/>
          <w:kern w:val="0"/>
          <w:sz w:val="20"/>
          <w:szCs w:val="20"/>
        </w:rPr>
        <w:t>a</w:t>
      </w:r>
      <w:r w:rsidR="00FF26B9">
        <w:rPr>
          <w:rFonts w:ascii="Arial" w:hAnsi="Arial"/>
          <w:b/>
          <w:kern w:val="0"/>
          <w:sz w:val="20"/>
          <w:szCs w:val="20"/>
        </w:rPr>
        <w:t>gree</w:t>
      </w:r>
      <w:r>
        <w:rPr>
          <w:rFonts w:ascii="Arial" w:hAnsi="Arial"/>
          <w:b/>
          <w:kern w:val="0"/>
          <w:sz w:val="20"/>
          <w:szCs w:val="20"/>
        </w:rPr>
        <w:t xml:space="preserve"> that the source SCG configuration at the CPC preparation can be used as the </w:t>
      </w:r>
      <w:r w:rsidRPr="004666DC">
        <w:rPr>
          <w:rFonts w:ascii="Arial" w:hAnsi="Arial"/>
          <w:b/>
          <w:kern w:val="0"/>
          <w:sz w:val="20"/>
          <w:szCs w:val="20"/>
        </w:rPr>
        <w:t>reference configuration for delta configuration</w:t>
      </w:r>
      <w:r>
        <w:rPr>
          <w:rFonts w:ascii="Arial" w:hAnsi="Arial"/>
          <w:b/>
          <w:kern w:val="0"/>
          <w:sz w:val="20"/>
          <w:szCs w:val="20"/>
        </w:rPr>
        <w:t xml:space="preserve"> in selective SCG activation.</w:t>
      </w:r>
    </w:p>
    <w:p w14:paraId="3586C940" w14:textId="48FEA89F" w:rsidR="00057BB0" w:rsidRDefault="00057BB0" w:rsidP="00057BB0">
      <w:pPr>
        <w:widowControl/>
        <w:spacing w:after="120" w:line="240" w:lineRule="atLeast"/>
        <w:rPr>
          <w:rFonts w:ascii="Arial" w:hAnsi="Arial"/>
          <w:kern w:val="0"/>
          <w:sz w:val="20"/>
          <w:szCs w:val="20"/>
        </w:rPr>
      </w:pPr>
    </w:p>
    <w:p w14:paraId="6C97B91F" w14:textId="6342BA0F" w:rsidR="00A234F5" w:rsidRDefault="00A234F5" w:rsidP="00057BB0">
      <w:pPr>
        <w:widowControl/>
        <w:spacing w:after="120" w:line="240" w:lineRule="atLeast"/>
        <w:rPr>
          <w:rFonts w:ascii="Arial" w:hAnsi="Arial"/>
          <w:kern w:val="0"/>
          <w:sz w:val="20"/>
          <w:szCs w:val="20"/>
        </w:rPr>
      </w:pPr>
      <w:r>
        <w:rPr>
          <w:rFonts w:ascii="Arial" w:hAnsi="Arial" w:hint="eastAsia"/>
          <w:kern w:val="0"/>
          <w:sz w:val="20"/>
          <w:szCs w:val="20"/>
        </w:rPr>
        <w:t>If t</w:t>
      </w:r>
      <w:r>
        <w:rPr>
          <w:rFonts w:ascii="Arial" w:hAnsi="Arial"/>
          <w:kern w:val="0"/>
          <w:sz w:val="20"/>
          <w:szCs w:val="20"/>
        </w:rPr>
        <w:t xml:space="preserve">he P2 can be agreed, </w:t>
      </w:r>
      <w:r w:rsidR="001F3DE5">
        <w:rPr>
          <w:rFonts w:ascii="Arial" w:hAnsi="Arial"/>
          <w:kern w:val="0"/>
          <w:sz w:val="20"/>
          <w:szCs w:val="20"/>
        </w:rPr>
        <w:t xml:space="preserve">it </w:t>
      </w:r>
      <w:r w:rsidR="009A2747">
        <w:rPr>
          <w:rFonts w:ascii="Arial" w:hAnsi="Arial"/>
          <w:kern w:val="0"/>
          <w:sz w:val="20"/>
          <w:szCs w:val="20"/>
        </w:rPr>
        <w:t>should be</w:t>
      </w:r>
      <w:r w:rsidR="001F3DE5">
        <w:rPr>
          <w:rFonts w:ascii="Arial" w:hAnsi="Arial"/>
          <w:kern w:val="0"/>
          <w:sz w:val="20"/>
          <w:szCs w:val="20"/>
        </w:rPr>
        <w:t xml:space="preserve"> </w:t>
      </w:r>
      <w:r w:rsidR="006438F3">
        <w:rPr>
          <w:rFonts w:ascii="Arial" w:hAnsi="Arial"/>
          <w:kern w:val="0"/>
          <w:sz w:val="20"/>
          <w:szCs w:val="20"/>
        </w:rPr>
        <w:t>clarified</w:t>
      </w:r>
      <w:r w:rsidR="001F3DE5">
        <w:rPr>
          <w:rFonts w:ascii="Arial" w:hAnsi="Arial"/>
          <w:kern w:val="0"/>
          <w:sz w:val="20"/>
          <w:szCs w:val="20"/>
        </w:rPr>
        <w:t xml:space="preserve"> how the UE manage the CPC configuration </w:t>
      </w:r>
      <w:r w:rsidR="009A2747">
        <w:rPr>
          <w:rFonts w:ascii="Arial" w:hAnsi="Arial"/>
          <w:kern w:val="0"/>
          <w:sz w:val="20"/>
          <w:szCs w:val="20"/>
        </w:rPr>
        <w:t>for the selective SCG activation (</w:t>
      </w:r>
      <w:proofErr w:type="gramStart"/>
      <w:r w:rsidR="009A2747">
        <w:rPr>
          <w:rFonts w:ascii="Arial" w:hAnsi="Arial"/>
          <w:kern w:val="0"/>
          <w:sz w:val="20"/>
          <w:szCs w:val="20"/>
        </w:rPr>
        <w:t>i.e.</w:t>
      </w:r>
      <w:proofErr w:type="gramEnd"/>
      <w:r w:rsidR="009A2747">
        <w:rPr>
          <w:rFonts w:ascii="Arial" w:hAnsi="Arial"/>
          <w:kern w:val="0"/>
          <w:sz w:val="20"/>
          <w:szCs w:val="20"/>
        </w:rPr>
        <w:t xml:space="preserve"> </w:t>
      </w:r>
      <w:r w:rsidR="00C4121E">
        <w:rPr>
          <w:rFonts w:ascii="Arial" w:hAnsi="Arial"/>
          <w:kern w:val="0"/>
          <w:sz w:val="20"/>
          <w:szCs w:val="20"/>
        </w:rPr>
        <w:t xml:space="preserve">CPC configurations </w:t>
      </w:r>
      <w:r w:rsidR="001F3DE5">
        <w:rPr>
          <w:rFonts w:ascii="Arial" w:hAnsi="Arial"/>
          <w:kern w:val="0"/>
          <w:sz w:val="20"/>
          <w:szCs w:val="20"/>
        </w:rPr>
        <w:t>intending to allow the subsequent CPC</w:t>
      </w:r>
      <w:r w:rsidR="009A2747">
        <w:rPr>
          <w:rFonts w:ascii="Arial" w:hAnsi="Arial"/>
          <w:kern w:val="0"/>
          <w:sz w:val="20"/>
          <w:szCs w:val="20"/>
        </w:rPr>
        <w:t>)</w:t>
      </w:r>
      <w:r w:rsidR="001F3DE5">
        <w:rPr>
          <w:rFonts w:ascii="Arial" w:hAnsi="Arial"/>
          <w:kern w:val="0"/>
          <w:sz w:val="20"/>
          <w:szCs w:val="20"/>
        </w:rPr>
        <w:t xml:space="preserve">. </w:t>
      </w:r>
      <w:r w:rsidR="009A2747">
        <w:rPr>
          <w:rFonts w:ascii="Arial" w:hAnsi="Arial"/>
          <w:kern w:val="0"/>
          <w:sz w:val="20"/>
          <w:szCs w:val="20"/>
        </w:rPr>
        <w:t>As per the previous agreement, t</w:t>
      </w:r>
      <w:r w:rsidR="001F3DE5">
        <w:rPr>
          <w:rFonts w:ascii="Arial" w:hAnsi="Arial"/>
          <w:kern w:val="0"/>
          <w:sz w:val="20"/>
          <w:szCs w:val="20"/>
        </w:rPr>
        <w:t>he reference configuration needs to be stored separately</w:t>
      </w:r>
      <w:r w:rsidR="009A2747">
        <w:rPr>
          <w:rFonts w:ascii="Arial" w:hAnsi="Arial"/>
          <w:kern w:val="0"/>
          <w:sz w:val="20"/>
          <w:szCs w:val="20"/>
        </w:rPr>
        <w:t xml:space="preserve"> at the UE side. Since the first CPC after the configuration can be the same as legacy CPC, it is simpler to store the current SCG configuration as the reference configuration upon receiving the CPC configuration for the selective SCG activation. With this way, even if the current SCG configuration needs to be modified by the SN after the CPC configuration, the UE as well as the candidate SN(s) do not need to update the reference configuration and the candidate SCG configurations.</w:t>
      </w:r>
      <w:r w:rsidR="001D5BAD">
        <w:rPr>
          <w:rFonts w:ascii="Arial" w:hAnsi="Arial"/>
          <w:kern w:val="0"/>
          <w:sz w:val="20"/>
          <w:szCs w:val="20"/>
        </w:rPr>
        <w:t xml:space="preserve"> This can </w:t>
      </w:r>
      <w:r w:rsidR="00C4121E">
        <w:rPr>
          <w:rFonts w:ascii="Arial" w:hAnsi="Arial"/>
          <w:kern w:val="0"/>
          <w:sz w:val="20"/>
          <w:szCs w:val="20"/>
        </w:rPr>
        <w:t>save</w:t>
      </w:r>
      <w:r w:rsidR="001D5BAD">
        <w:rPr>
          <w:rFonts w:ascii="Arial" w:hAnsi="Arial"/>
          <w:kern w:val="0"/>
          <w:sz w:val="20"/>
          <w:szCs w:val="20"/>
        </w:rPr>
        <w:t xml:space="preserve"> signalling overhead a lot.</w:t>
      </w:r>
    </w:p>
    <w:p w14:paraId="650E7C5C" w14:textId="61E3995A" w:rsidR="001D5BAD" w:rsidRPr="002C6C08" w:rsidRDefault="001D5BAD" w:rsidP="001D5BAD">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xml:space="preserve">: </w:t>
      </w:r>
      <w:r w:rsidR="00A535CA">
        <w:rPr>
          <w:rFonts w:ascii="Arial" w:hAnsi="Arial"/>
          <w:b/>
          <w:kern w:val="0"/>
          <w:sz w:val="20"/>
          <w:szCs w:val="20"/>
        </w:rPr>
        <w:t>RAN2 to agree that the UE stores the current source SCG configuration as the reference configuration upon receiving the CPC configurations for the selective SCG activation</w:t>
      </w:r>
      <w:r>
        <w:rPr>
          <w:rFonts w:ascii="Arial" w:hAnsi="Arial"/>
          <w:b/>
          <w:kern w:val="0"/>
          <w:sz w:val="20"/>
          <w:szCs w:val="20"/>
        </w:rPr>
        <w:t>.</w:t>
      </w:r>
    </w:p>
    <w:p w14:paraId="3B445F09" w14:textId="77777777" w:rsidR="00A234F5" w:rsidRPr="00A234F5" w:rsidRDefault="00A234F5" w:rsidP="00057BB0">
      <w:pPr>
        <w:widowControl/>
        <w:spacing w:after="120" w:line="240" w:lineRule="atLeast"/>
        <w:rPr>
          <w:rFonts w:ascii="Arial" w:hAnsi="Arial"/>
          <w:kern w:val="0"/>
          <w:sz w:val="20"/>
          <w:szCs w:val="20"/>
        </w:rPr>
      </w:pPr>
    </w:p>
    <w:p w14:paraId="0EE36E60" w14:textId="77777777" w:rsidR="00057BB0" w:rsidRDefault="00057BB0" w:rsidP="00057BB0">
      <w:pPr>
        <w:widowControl/>
        <w:spacing w:after="120" w:line="240" w:lineRule="atLeast"/>
        <w:rPr>
          <w:rFonts w:ascii="Arial" w:hAnsi="Arial"/>
          <w:kern w:val="0"/>
          <w:sz w:val="20"/>
          <w:szCs w:val="20"/>
        </w:rPr>
      </w:pPr>
      <w:r>
        <w:rPr>
          <w:rFonts w:ascii="Arial" w:hAnsi="Arial"/>
          <w:kern w:val="0"/>
          <w:sz w:val="20"/>
          <w:szCs w:val="20"/>
        </w:rPr>
        <w:t>In addition, if a conclusion of P1 is the interpretation 2, RAN2 should confirm that the delta configuration is not applied in reusing the CPA configuration for the subsequent CPC. This is simply because there is no SCG configuration when the CPA configuration is provided.</w:t>
      </w:r>
    </w:p>
    <w:p w14:paraId="460E0F59" w14:textId="66428A6A" w:rsidR="00057BB0" w:rsidRPr="002C6C08" w:rsidRDefault="00057BB0" w:rsidP="00057BB0">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1D5BAD">
        <w:rPr>
          <w:rFonts w:ascii="Arial" w:hAnsi="Arial"/>
          <w:b/>
          <w:kern w:val="0"/>
          <w:sz w:val="20"/>
          <w:szCs w:val="20"/>
        </w:rPr>
        <w:t>4</w:t>
      </w:r>
      <w:r>
        <w:rPr>
          <w:rFonts w:ascii="Arial" w:hAnsi="Arial" w:hint="eastAsia"/>
          <w:b/>
          <w:kern w:val="0"/>
          <w:sz w:val="20"/>
          <w:szCs w:val="20"/>
        </w:rPr>
        <w:t xml:space="preserve">: </w:t>
      </w:r>
      <w:r>
        <w:rPr>
          <w:rFonts w:ascii="Arial" w:hAnsi="Arial"/>
          <w:b/>
          <w:kern w:val="0"/>
          <w:sz w:val="20"/>
          <w:szCs w:val="20"/>
        </w:rPr>
        <w:t>If the Interpretation 2 of P1 is agreed, RAN2 to confirm there is no delta configuration for the subsequent CPC with reusing the CPA configuration.</w:t>
      </w:r>
    </w:p>
    <w:p w14:paraId="66E7DE2D" w14:textId="27D29D8A" w:rsidR="003E16F6" w:rsidRDefault="003E16F6" w:rsidP="003E16F6">
      <w:pPr>
        <w:widowControl/>
        <w:spacing w:after="120" w:line="240" w:lineRule="atLeast"/>
        <w:rPr>
          <w:rFonts w:ascii="Arial" w:hAnsi="Arial"/>
          <w:kern w:val="0"/>
          <w:sz w:val="20"/>
          <w:szCs w:val="20"/>
        </w:rPr>
      </w:pPr>
    </w:p>
    <w:p w14:paraId="52B0F4A8" w14:textId="52A4FCE7" w:rsidR="00626C5D" w:rsidRPr="002C6C08" w:rsidRDefault="00626C5D" w:rsidP="00626C5D">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3</w:t>
      </w:r>
      <w:r w:rsidRPr="002C6C08">
        <w:rPr>
          <w:rFonts w:ascii="Arial" w:hAnsi="Arial" w:hint="eastAsia"/>
          <w:kern w:val="0"/>
          <w:sz w:val="28"/>
          <w:szCs w:val="20"/>
        </w:rPr>
        <w:tab/>
      </w:r>
      <w:r>
        <w:rPr>
          <w:rFonts w:ascii="Arial" w:hAnsi="Arial"/>
          <w:kern w:val="0"/>
          <w:sz w:val="28"/>
          <w:szCs w:val="20"/>
        </w:rPr>
        <w:t>Naming of selective CG activation</w:t>
      </w:r>
    </w:p>
    <w:p w14:paraId="704D1E19" w14:textId="7A454DBB" w:rsidR="000F5F72" w:rsidRDefault="00626C5D" w:rsidP="003E16F6">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n RAN2#120, there was some discussions on the need of new naming (abbreviation) for the selective CG activation</w:t>
      </w:r>
      <w:r w:rsidR="00575E00">
        <w:rPr>
          <w:rFonts w:ascii="Arial" w:hAnsi="Arial"/>
          <w:kern w:val="0"/>
          <w:sz w:val="20"/>
          <w:szCs w:val="20"/>
        </w:rPr>
        <w:t xml:space="preserve"> (or selective activation of CG)</w:t>
      </w:r>
      <w:r>
        <w:rPr>
          <w:rFonts w:ascii="Arial" w:hAnsi="Arial"/>
          <w:kern w:val="0"/>
          <w:sz w:val="20"/>
          <w:szCs w:val="20"/>
        </w:rPr>
        <w:t>.</w:t>
      </w:r>
      <w:r w:rsidR="007E5AF6">
        <w:rPr>
          <w:rFonts w:ascii="Arial" w:hAnsi="Arial"/>
          <w:kern w:val="0"/>
          <w:sz w:val="20"/>
          <w:szCs w:val="20"/>
        </w:rPr>
        <w:t xml:space="preserve"> Even though the functions can be specified</w:t>
      </w:r>
      <w:r w:rsidR="00575E00">
        <w:rPr>
          <w:rFonts w:ascii="Arial" w:hAnsi="Arial"/>
          <w:kern w:val="0"/>
          <w:sz w:val="20"/>
          <w:szCs w:val="20"/>
        </w:rPr>
        <w:t xml:space="preserve"> without the abbreviation</w:t>
      </w:r>
      <w:r w:rsidR="007E5AF6">
        <w:rPr>
          <w:rFonts w:ascii="Arial" w:hAnsi="Arial"/>
          <w:kern w:val="0"/>
          <w:sz w:val="20"/>
          <w:szCs w:val="20"/>
        </w:rPr>
        <w:t xml:space="preserve">, it would be useful to </w:t>
      </w:r>
      <w:r w:rsidR="00575E00">
        <w:rPr>
          <w:rFonts w:ascii="Arial" w:hAnsi="Arial"/>
          <w:kern w:val="0"/>
          <w:sz w:val="20"/>
          <w:szCs w:val="20"/>
        </w:rPr>
        <w:t xml:space="preserve">shorten the text by </w:t>
      </w:r>
      <w:r w:rsidR="007E5AF6">
        <w:rPr>
          <w:rFonts w:ascii="Arial" w:hAnsi="Arial"/>
          <w:kern w:val="0"/>
          <w:sz w:val="20"/>
          <w:szCs w:val="20"/>
        </w:rPr>
        <w:t>us</w:t>
      </w:r>
      <w:r w:rsidR="00575E00">
        <w:rPr>
          <w:rFonts w:ascii="Arial" w:hAnsi="Arial"/>
          <w:kern w:val="0"/>
          <w:sz w:val="20"/>
          <w:szCs w:val="20"/>
        </w:rPr>
        <w:t>ing</w:t>
      </w:r>
      <w:r w:rsidR="007E5AF6">
        <w:rPr>
          <w:rFonts w:ascii="Arial" w:hAnsi="Arial"/>
          <w:kern w:val="0"/>
          <w:sz w:val="20"/>
          <w:szCs w:val="20"/>
        </w:rPr>
        <w:t xml:space="preserve"> </w:t>
      </w:r>
      <w:r w:rsidR="00575E00">
        <w:rPr>
          <w:rFonts w:ascii="Arial" w:hAnsi="Arial"/>
          <w:kern w:val="0"/>
          <w:sz w:val="20"/>
          <w:szCs w:val="20"/>
        </w:rPr>
        <w:t xml:space="preserve">it </w:t>
      </w:r>
      <w:r w:rsidR="007E5AF6">
        <w:rPr>
          <w:rFonts w:ascii="Arial" w:hAnsi="Arial"/>
          <w:kern w:val="0"/>
          <w:sz w:val="20"/>
          <w:szCs w:val="20"/>
        </w:rPr>
        <w:t xml:space="preserve">in many places, </w:t>
      </w:r>
      <w:proofErr w:type="gramStart"/>
      <w:r w:rsidR="007E5AF6">
        <w:rPr>
          <w:rFonts w:ascii="Arial" w:hAnsi="Arial"/>
          <w:kern w:val="0"/>
          <w:sz w:val="20"/>
          <w:szCs w:val="20"/>
        </w:rPr>
        <w:t>e.g.</w:t>
      </w:r>
      <w:proofErr w:type="gramEnd"/>
      <w:r w:rsidR="007E5AF6">
        <w:rPr>
          <w:rFonts w:ascii="Arial" w:hAnsi="Arial"/>
          <w:kern w:val="0"/>
          <w:sz w:val="20"/>
          <w:szCs w:val="20"/>
        </w:rPr>
        <w:t xml:space="preserve"> ASN.1.</w:t>
      </w:r>
    </w:p>
    <w:p w14:paraId="1238431B" w14:textId="21C4F3EE" w:rsidR="007E5AF6" w:rsidRPr="002C6C08" w:rsidRDefault="007E5AF6" w:rsidP="007E5AF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1D5BAD">
        <w:rPr>
          <w:rFonts w:ascii="Arial" w:hAnsi="Arial"/>
          <w:b/>
          <w:kern w:val="0"/>
          <w:sz w:val="20"/>
          <w:szCs w:val="20"/>
        </w:rPr>
        <w:t>5</w:t>
      </w:r>
      <w:r>
        <w:rPr>
          <w:rFonts w:ascii="Arial" w:hAnsi="Arial" w:hint="eastAsia"/>
          <w:b/>
          <w:kern w:val="0"/>
          <w:sz w:val="20"/>
          <w:szCs w:val="20"/>
        </w:rPr>
        <w:t xml:space="preserve">: </w:t>
      </w:r>
      <w:r>
        <w:rPr>
          <w:rFonts w:ascii="Arial" w:hAnsi="Arial"/>
          <w:b/>
          <w:kern w:val="0"/>
          <w:sz w:val="20"/>
          <w:szCs w:val="20"/>
        </w:rPr>
        <w:t>RAN2 to introduce an abbreviation for selective CG activation</w:t>
      </w:r>
      <w:r w:rsidR="00CA0D71">
        <w:rPr>
          <w:rFonts w:ascii="Arial" w:hAnsi="Arial"/>
          <w:b/>
          <w:kern w:val="0"/>
          <w:sz w:val="20"/>
          <w:szCs w:val="20"/>
        </w:rPr>
        <w:t>.</w:t>
      </w:r>
    </w:p>
    <w:p w14:paraId="7C9F317D" w14:textId="1BCEA8C3" w:rsidR="00CA0D71" w:rsidRPr="002C6C08" w:rsidRDefault="00CA0D71" w:rsidP="00CA0D71">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1D5BAD">
        <w:rPr>
          <w:rFonts w:ascii="Arial" w:hAnsi="Arial"/>
          <w:b/>
          <w:kern w:val="0"/>
          <w:sz w:val="20"/>
          <w:szCs w:val="20"/>
        </w:rPr>
        <w:t>5</w:t>
      </w:r>
      <w:r>
        <w:rPr>
          <w:rFonts w:ascii="Arial" w:hAnsi="Arial"/>
          <w:b/>
          <w:kern w:val="0"/>
          <w:sz w:val="20"/>
          <w:szCs w:val="20"/>
        </w:rPr>
        <w:t>a</w:t>
      </w:r>
      <w:r>
        <w:rPr>
          <w:rFonts w:ascii="Arial" w:hAnsi="Arial" w:hint="eastAsia"/>
          <w:b/>
          <w:kern w:val="0"/>
          <w:sz w:val="20"/>
          <w:szCs w:val="20"/>
        </w:rPr>
        <w:t xml:space="preserve">: </w:t>
      </w:r>
      <w:r>
        <w:rPr>
          <w:rFonts w:ascii="Arial" w:hAnsi="Arial"/>
          <w:b/>
          <w:kern w:val="0"/>
          <w:sz w:val="20"/>
          <w:szCs w:val="20"/>
        </w:rPr>
        <w:t>If RAN2 agree with P4, consider “SCA (Selective C</w:t>
      </w:r>
      <w:r w:rsidR="0010333A">
        <w:rPr>
          <w:rFonts w:ascii="Arial" w:hAnsi="Arial"/>
          <w:b/>
          <w:kern w:val="0"/>
          <w:sz w:val="20"/>
          <w:szCs w:val="20"/>
        </w:rPr>
        <w:t>G</w:t>
      </w:r>
      <w:r>
        <w:rPr>
          <w:rFonts w:ascii="Arial" w:hAnsi="Arial"/>
          <w:b/>
          <w:kern w:val="0"/>
          <w:sz w:val="20"/>
          <w:szCs w:val="20"/>
        </w:rPr>
        <w:t xml:space="preserve"> Activation)” or “SSCA (Selective SCG Activation)”</w:t>
      </w:r>
      <w:r w:rsidR="00B22566">
        <w:rPr>
          <w:rFonts w:ascii="Arial" w:hAnsi="Arial"/>
          <w:b/>
          <w:kern w:val="0"/>
          <w:sz w:val="20"/>
          <w:szCs w:val="20"/>
        </w:rPr>
        <w:t xml:space="preserve"> as candidates</w:t>
      </w:r>
      <w:r>
        <w:rPr>
          <w:rFonts w:ascii="Arial" w:hAnsi="Arial"/>
          <w:b/>
          <w:kern w:val="0"/>
          <w:sz w:val="20"/>
          <w:szCs w:val="20"/>
        </w:rPr>
        <w:t>.</w:t>
      </w:r>
    </w:p>
    <w:p w14:paraId="3FD8566C" w14:textId="77777777" w:rsidR="00626C5D" w:rsidRPr="00CA0D71" w:rsidRDefault="00626C5D" w:rsidP="003E16F6">
      <w:pPr>
        <w:widowControl/>
        <w:spacing w:after="120" w:line="240" w:lineRule="atLeast"/>
        <w:rPr>
          <w:rFonts w:ascii="Arial" w:hAnsi="Arial"/>
          <w:kern w:val="0"/>
          <w:sz w:val="20"/>
          <w:szCs w:val="20"/>
        </w:rPr>
      </w:pPr>
    </w:p>
    <w:p w14:paraId="6843460D"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3. Conclusion</w:t>
      </w:r>
    </w:p>
    <w:p w14:paraId="77E35B87" w14:textId="622CF643"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E95D89">
        <w:rPr>
          <w:rFonts w:ascii="Arial" w:eastAsia="Arial Unicode MS" w:hAnsi="Arial"/>
          <w:kern w:val="0"/>
          <w:sz w:val="20"/>
          <w:szCs w:val="20"/>
        </w:rPr>
        <w:t>about CPA selective activation of CG and delta configuration in selective SCG activation</w:t>
      </w:r>
      <w:r w:rsidR="00E95D89">
        <w:rPr>
          <w:rFonts w:ascii="Arial" w:eastAsia="Arial Unicode MS" w:hAnsi="Arial" w:hint="eastAsia"/>
          <w:kern w:val="0"/>
          <w:sz w:val="20"/>
          <w:szCs w:val="20"/>
        </w:rPr>
        <w:t>.</w:t>
      </w:r>
      <w:r w:rsidR="00E95D89">
        <w:rPr>
          <w:rFonts w:ascii="Arial" w:eastAsia="Arial Unicode MS" w:hAnsi="Arial"/>
          <w:kern w:val="0"/>
          <w:sz w:val="20"/>
          <w:szCs w:val="20"/>
        </w:rPr>
        <w:t xml:space="preserve"> Then, we made the following proposals</w:t>
      </w:r>
      <w:r w:rsidRPr="002C6C08">
        <w:rPr>
          <w:rFonts w:ascii="Arial" w:eastAsia="Arial Unicode MS" w:hAnsi="Arial" w:hint="eastAsia"/>
          <w:kern w:val="0"/>
          <w:sz w:val="20"/>
          <w:szCs w:val="20"/>
        </w:rPr>
        <w:t>.</w:t>
      </w:r>
    </w:p>
    <w:p w14:paraId="43EFD7FA" w14:textId="6235E79B" w:rsidR="003E16F6" w:rsidRDefault="003E16F6" w:rsidP="003E16F6">
      <w:pPr>
        <w:widowControl/>
        <w:spacing w:before="60" w:after="60" w:line="240" w:lineRule="atLeast"/>
        <w:rPr>
          <w:rFonts w:ascii="Arial" w:hAnsi="Arial"/>
          <w:b/>
          <w:kern w:val="0"/>
          <w:sz w:val="20"/>
          <w:szCs w:val="20"/>
        </w:rPr>
      </w:pPr>
    </w:p>
    <w:p w14:paraId="4CD577C1" w14:textId="77777777" w:rsidR="00C526CA" w:rsidRDefault="00C526CA" w:rsidP="00C526C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 xml:space="preserve">RAN2 to further discuss the actual meaning of </w:t>
      </w:r>
      <w:r w:rsidRPr="007906B3">
        <w:rPr>
          <w:rFonts w:ascii="Arial" w:hAnsi="Arial" w:hint="eastAsia"/>
          <w:b/>
          <w:kern w:val="0"/>
          <w:sz w:val="20"/>
          <w:szCs w:val="20"/>
        </w:rPr>
        <w:t>“</w:t>
      </w:r>
      <w:r w:rsidRPr="007906B3">
        <w:rPr>
          <w:rFonts w:ascii="Arial" w:hAnsi="Arial"/>
          <w:b/>
          <w:kern w:val="0"/>
          <w:sz w:val="20"/>
          <w:szCs w:val="20"/>
        </w:rPr>
        <w:t>CPA” selective activation of cell groups</w:t>
      </w:r>
      <w:r>
        <w:rPr>
          <w:rFonts w:ascii="Arial" w:hAnsi="Arial"/>
          <w:b/>
          <w:kern w:val="0"/>
          <w:sz w:val="20"/>
          <w:szCs w:val="20"/>
        </w:rPr>
        <w:t xml:space="preserve"> among two interpretations:</w:t>
      </w:r>
    </w:p>
    <w:p w14:paraId="345FFCFB" w14:textId="77777777" w:rsidR="00C526CA" w:rsidRPr="001270C3" w:rsidRDefault="00C526CA" w:rsidP="00C526CA">
      <w:pPr>
        <w:pStyle w:val="a9"/>
        <w:widowControl/>
        <w:numPr>
          <w:ilvl w:val="0"/>
          <w:numId w:val="2"/>
        </w:numPr>
        <w:spacing w:before="60" w:after="120" w:line="240" w:lineRule="atLeast"/>
        <w:ind w:leftChars="0"/>
        <w:rPr>
          <w:rFonts w:ascii="Arial" w:hAnsi="Arial"/>
          <w:b/>
          <w:kern w:val="0"/>
          <w:sz w:val="20"/>
          <w:szCs w:val="20"/>
        </w:rPr>
      </w:pPr>
      <w:r w:rsidRPr="001270C3">
        <w:rPr>
          <w:rFonts w:ascii="Arial" w:hAnsi="Arial"/>
          <w:b/>
          <w:kern w:val="0"/>
          <w:sz w:val="20"/>
          <w:szCs w:val="20"/>
        </w:rPr>
        <w:t xml:space="preserve">Interpretation 1: </w:t>
      </w:r>
      <w:r>
        <w:rPr>
          <w:rFonts w:ascii="Arial" w:hAnsi="Arial"/>
          <w:b/>
          <w:kern w:val="0"/>
          <w:sz w:val="20"/>
          <w:szCs w:val="20"/>
        </w:rPr>
        <w:t>CPA configuration is reused for subsequent CPA after once SCG is released.</w:t>
      </w:r>
    </w:p>
    <w:p w14:paraId="2F28D739" w14:textId="1EE909F1" w:rsidR="00C526CA" w:rsidRPr="00C526CA" w:rsidRDefault="00C526CA" w:rsidP="00802B5E">
      <w:pPr>
        <w:pStyle w:val="a9"/>
        <w:widowControl/>
        <w:numPr>
          <w:ilvl w:val="0"/>
          <w:numId w:val="2"/>
        </w:numPr>
        <w:spacing w:before="60" w:after="120" w:line="240" w:lineRule="atLeast"/>
        <w:ind w:leftChars="0"/>
        <w:rPr>
          <w:rFonts w:ascii="Arial" w:hAnsi="Arial"/>
          <w:b/>
          <w:kern w:val="0"/>
          <w:sz w:val="20"/>
          <w:szCs w:val="20"/>
        </w:rPr>
      </w:pPr>
      <w:r w:rsidRPr="00C526CA">
        <w:rPr>
          <w:rFonts w:ascii="Arial" w:hAnsi="Arial"/>
          <w:b/>
          <w:kern w:val="0"/>
          <w:sz w:val="20"/>
          <w:szCs w:val="20"/>
        </w:rPr>
        <w:t>Interpretation 2: CPA configuration is reused for subsequent CPC after SCG is added.</w:t>
      </w:r>
    </w:p>
    <w:p w14:paraId="1F41A0C4" w14:textId="15775240" w:rsidR="00C526CA" w:rsidRPr="00C526CA" w:rsidRDefault="00C526CA" w:rsidP="00EB6389">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 xml:space="preserve">RAN2 to </w:t>
      </w:r>
      <w:r>
        <w:rPr>
          <w:rFonts w:ascii="Arial" w:hAnsi="Arial" w:hint="eastAsia"/>
          <w:b/>
          <w:kern w:val="0"/>
          <w:sz w:val="20"/>
          <w:szCs w:val="20"/>
        </w:rPr>
        <w:t>a</w:t>
      </w:r>
      <w:r>
        <w:rPr>
          <w:rFonts w:ascii="Arial" w:hAnsi="Arial"/>
          <w:b/>
          <w:kern w:val="0"/>
          <w:sz w:val="20"/>
          <w:szCs w:val="20"/>
        </w:rPr>
        <w:t xml:space="preserve">gree that the source SCG configuration at the CPC preparation can be used as the </w:t>
      </w:r>
      <w:r w:rsidRPr="004666DC">
        <w:rPr>
          <w:rFonts w:ascii="Arial" w:hAnsi="Arial"/>
          <w:b/>
          <w:kern w:val="0"/>
          <w:sz w:val="20"/>
          <w:szCs w:val="20"/>
        </w:rPr>
        <w:t>reference configuration for delta configuration</w:t>
      </w:r>
      <w:r>
        <w:rPr>
          <w:rFonts w:ascii="Arial" w:hAnsi="Arial"/>
          <w:b/>
          <w:kern w:val="0"/>
          <w:sz w:val="20"/>
          <w:szCs w:val="20"/>
        </w:rPr>
        <w:t xml:space="preserve"> in selective SCG activation.</w:t>
      </w:r>
    </w:p>
    <w:p w14:paraId="3AE4AAA9" w14:textId="7BA1489F" w:rsidR="00867EE0" w:rsidRDefault="00986858">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RAN2 to agree that the UE stores the current source SCG configuration as the reference configuration upon receiving the CPC configurations for the selective SCG activation.</w:t>
      </w:r>
    </w:p>
    <w:p w14:paraId="633D795F" w14:textId="530DE493" w:rsidR="003E16F6" w:rsidRPr="00C526CA" w:rsidRDefault="00C526CA" w:rsidP="00EB6389">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1D5BAD">
        <w:rPr>
          <w:rFonts w:ascii="Arial" w:hAnsi="Arial"/>
          <w:b/>
          <w:kern w:val="0"/>
          <w:sz w:val="20"/>
          <w:szCs w:val="20"/>
        </w:rPr>
        <w:t>4</w:t>
      </w:r>
      <w:r>
        <w:rPr>
          <w:rFonts w:ascii="Arial" w:hAnsi="Arial" w:hint="eastAsia"/>
          <w:b/>
          <w:kern w:val="0"/>
          <w:sz w:val="20"/>
          <w:szCs w:val="20"/>
        </w:rPr>
        <w:t xml:space="preserve">: </w:t>
      </w:r>
      <w:r>
        <w:rPr>
          <w:rFonts w:ascii="Arial" w:hAnsi="Arial"/>
          <w:b/>
          <w:kern w:val="0"/>
          <w:sz w:val="20"/>
          <w:szCs w:val="20"/>
        </w:rPr>
        <w:t>If the Interpretation 2 of P1 is agreed, RAN2 to confirm there is no delta configuration for the subsequent CPC with reusing the CPA configuration.</w:t>
      </w:r>
    </w:p>
    <w:p w14:paraId="422D2161" w14:textId="39244905" w:rsidR="00C526CA" w:rsidRPr="002C6C08" w:rsidRDefault="00C526CA" w:rsidP="00C526C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1D5BAD">
        <w:rPr>
          <w:rFonts w:ascii="Arial" w:hAnsi="Arial"/>
          <w:b/>
          <w:kern w:val="0"/>
          <w:sz w:val="20"/>
          <w:szCs w:val="20"/>
        </w:rPr>
        <w:t>5</w:t>
      </w:r>
      <w:r>
        <w:rPr>
          <w:rFonts w:ascii="Arial" w:hAnsi="Arial" w:hint="eastAsia"/>
          <w:b/>
          <w:kern w:val="0"/>
          <w:sz w:val="20"/>
          <w:szCs w:val="20"/>
        </w:rPr>
        <w:t xml:space="preserve">: </w:t>
      </w:r>
      <w:r>
        <w:rPr>
          <w:rFonts w:ascii="Arial" w:hAnsi="Arial"/>
          <w:b/>
          <w:kern w:val="0"/>
          <w:sz w:val="20"/>
          <w:szCs w:val="20"/>
        </w:rPr>
        <w:t>RAN2 to introduce an abbreviation for selective CG activation.</w:t>
      </w:r>
    </w:p>
    <w:p w14:paraId="586655E3" w14:textId="13821572" w:rsidR="00C526CA" w:rsidRPr="002C6C08" w:rsidRDefault="00C526CA" w:rsidP="00C526C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1D5BAD">
        <w:rPr>
          <w:rFonts w:ascii="Arial" w:hAnsi="Arial"/>
          <w:b/>
          <w:kern w:val="0"/>
          <w:sz w:val="20"/>
          <w:szCs w:val="20"/>
        </w:rPr>
        <w:t>5</w:t>
      </w:r>
      <w:r>
        <w:rPr>
          <w:rFonts w:ascii="Arial" w:hAnsi="Arial"/>
          <w:b/>
          <w:kern w:val="0"/>
          <w:sz w:val="20"/>
          <w:szCs w:val="20"/>
        </w:rPr>
        <w:t>a</w:t>
      </w:r>
      <w:r>
        <w:rPr>
          <w:rFonts w:ascii="Arial" w:hAnsi="Arial" w:hint="eastAsia"/>
          <w:b/>
          <w:kern w:val="0"/>
          <w:sz w:val="20"/>
          <w:szCs w:val="20"/>
        </w:rPr>
        <w:t xml:space="preserve">: </w:t>
      </w:r>
      <w:r>
        <w:rPr>
          <w:rFonts w:ascii="Arial" w:hAnsi="Arial"/>
          <w:b/>
          <w:kern w:val="0"/>
          <w:sz w:val="20"/>
          <w:szCs w:val="20"/>
        </w:rPr>
        <w:t>If RAN2 agree with P4, consider “SCA (Selective CG Activation)” or “SSCA (Selective SCG Activation)” as candidates.</w:t>
      </w:r>
    </w:p>
    <w:p w14:paraId="48660C66" w14:textId="77777777" w:rsidR="003E16F6" w:rsidRPr="00C526CA" w:rsidRDefault="003E16F6" w:rsidP="003E16F6">
      <w:pPr>
        <w:widowControl/>
        <w:spacing w:afterLines="25" w:after="60" w:line="240" w:lineRule="atLeast"/>
        <w:rPr>
          <w:rFonts w:ascii="Arial" w:hAnsi="Arial"/>
          <w:b/>
          <w:kern w:val="0"/>
          <w:sz w:val="20"/>
          <w:szCs w:val="20"/>
        </w:rPr>
      </w:pPr>
    </w:p>
    <w:p w14:paraId="0DF68B8F"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5D268F84" w14:textId="77777777" w:rsidR="00FB7946" w:rsidRPr="002C6C08" w:rsidRDefault="00FB7946" w:rsidP="00FB794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Pr>
          <w:rFonts w:ascii="Arial" w:eastAsia="Arial Unicode MS" w:hAnsi="Arial"/>
          <w:kern w:val="0"/>
          <w:sz w:val="20"/>
          <w:szCs w:val="20"/>
        </w:rPr>
        <w:t>RAN2#119bis-e Chairman notes</w:t>
      </w:r>
    </w:p>
    <w:p w14:paraId="2025DE54" w14:textId="48D6504B" w:rsidR="00626C5D" w:rsidRPr="002C6C08" w:rsidRDefault="00626C5D" w:rsidP="00626C5D">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w:t>
      </w:r>
      <w:r>
        <w:rPr>
          <w:rFonts w:ascii="Arial" w:eastAsia="Arial Unicode MS" w:hAnsi="Arial"/>
          <w:kern w:val="0"/>
          <w:sz w:val="20"/>
          <w:szCs w:val="20"/>
        </w:rPr>
        <w:t>2</w:t>
      </w:r>
      <w:r w:rsidRPr="002C6C08">
        <w:rPr>
          <w:rFonts w:ascii="Arial" w:eastAsia="Arial Unicode MS" w:hAnsi="Arial" w:hint="eastAsia"/>
          <w:kern w:val="0"/>
          <w:sz w:val="20"/>
          <w:szCs w:val="20"/>
        </w:rPr>
        <w:t xml:space="preserve">] </w:t>
      </w:r>
      <w:r>
        <w:rPr>
          <w:rFonts w:ascii="Arial" w:eastAsia="Arial Unicode MS" w:hAnsi="Arial"/>
          <w:kern w:val="0"/>
          <w:sz w:val="20"/>
          <w:szCs w:val="20"/>
        </w:rPr>
        <w:t>RAN2#120 Chairman notes</w:t>
      </w:r>
    </w:p>
    <w:p w14:paraId="3A642733" w14:textId="4BD104FF" w:rsidR="003E16F6" w:rsidRDefault="003B4394"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3] </w:t>
      </w:r>
      <w:r w:rsidRPr="003B4394">
        <w:rPr>
          <w:rFonts w:ascii="Arial" w:eastAsia="Arial Unicode MS" w:hAnsi="Arial"/>
          <w:kern w:val="0"/>
          <w:sz w:val="20"/>
          <w:szCs w:val="20"/>
        </w:rPr>
        <w:t>R2-2213337</w:t>
      </w:r>
      <w:r>
        <w:rPr>
          <w:rFonts w:ascii="Arial" w:eastAsia="Arial Unicode MS" w:hAnsi="Arial"/>
          <w:kern w:val="0"/>
          <w:sz w:val="20"/>
          <w:szCs w:val="20"/>
        </w:rPr>
        <w:t>, LS to SA3</w:t>
      </w:r>
    </w:p>
    <w:p w14:paraId="11210294" w14:textId="77777777" w:rsidR="003B4394" w:rsidRPr="00626C5D" w:rsidRDefault="003B4394" w:rsidP="003E16F6">
      <w:pPr>
        <w:widowControl/>
        <w:spacing w:line="240" w:lineRule="atLeast"/>
        <w:rPr>
          <w:rFonts w:ascii="Arial" w:eastAsia="Arial Unicode MS" w:hAnsi="Arial"/>
          <w:kern w:val="0"/>
          <w:sz w:val="20"/>
          <w:szCs w:val="20"/>
        </w:rPr>
      </w:pPr>
    </w:p>
    <w:p w14:paraId="5AEE3804" w14:textId="77777777" w:rsidR="003E16F6" w:rsidRPr="002C6C08" w:rsidRDefault="003E16F6" w:rsidP="003E16F6">
      <w:pPr>
        <w:widowControl/>
        <w:adjustRightInd w:val="0"/>
        <w:spacing w:line="240" w:lineRule="atLeast"/>
        <w:jc w:val="left"/>
        <w:rPr>
          <w:rFonts w:ascii="Arial" w:eastAsia="Arial Unicode MS" w:hAnsi="Arial"/>
          <w:kern w:val="0"/>
          <w:sz w:val="20"/>
          <w:szCs w:val="20"/>
        </w:rPr>
      </w:pPr>
    </w:p>
    <w:sectPr w:rsidR="003E16F6" w:rsidRPr="002C6C08"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B5D87" w14:textId="77777777" w:rsidR="008D5328" w:rsidRDefault="008D5328" w:rsidP="005F4664">
      <w:r>
        <w:separator/>
      </w:r>
    </w:p>
  </w:endnote>
  <w:endnote w:type="continuationSeparator" w:id="0">
    <w:p w14:paraId="5AF4139E" w14:textId="77777777" w:rsidR="008D5328" w:rsidRDefault="008D5328"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E2AC2" w14:textId="77777777" w:rsidR="008D5328" w:rsidRDefault="008D5328" w:rsidP="005F4664">
      <w:r>
        <w:separator/>
      </w:r>
    </w:p>
  </w:footnote>
  <w:footnote w:type="continuationSeparator" w:id="0">
    <w:p w14:paraId="29DECC60" w14:textId="77777777" w:rsidR="008D5328" w:rsidRDefault="008D5328"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7F3270A"/>
    <w:multiLevelType w:val="hybridMultilevel"/>
    <w:tmpl w:val="EDD6BF6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57BB0"/>
    <w:rsid w:val="000A024E"/>
    <w:rsid w:val="000C4A4F"/>
    <w:rsid w:val="000F27B1"/>
    <w:rsid w:val="000F5F72"/>
    <w:rsid w:val="000F6856"/>
    <w:rsid w:val="0010333A"/>
    <w:rsid w:val="001310F8"/>
    <w:rsid w:val="001504D8"/>
    <w:rsid w:val="001634C2"/>
    <w:rsid w:val="001679AD"/>
    <w:rsid w:val="001C1521"/>
    <w:rsid w:val="001D5BAD"/>
    <w:rsid w:val="001D6661"/>
    <w:rsid w:val="001E0586"/>
    <w:rsid w:val="001F3DE5"/>
    <w:rsid w:val="0028555E"/>
    <w:rsid w:val="00297E8B"/>
    <w:rsid w:val="002A7B1A"/>
    <w:rsid w:val="002E4305"/>
    <w:rsid w:val="003126DE"/>
    <w:rsid w:val="00391CBE"/>
    <w:rsid w:val="003A66D3"/>
    <w:rsid w:val="003B4394"/>
    <w:rsid w:val="003C391C"/>
    <w:rsid w:val="003E16F6"/>
    <w:rsid w:val="004623F9"/>
    <w:rsid w:val="00485574"/>
    <w:rsid w:val="004B5A9E"/>
    <w:rsid w:val="004C55F8"/>
    <w:rsid w:val="004C6ADE"/>
    <w:rsid w:val="004D0B78"/>
    <w:rsid w:val="004E6B24"/>
    <w:rsid w:val="004F0F43"/>
    <w:rsid w:val="004F6BB1"/>
    <w:rsid w:val="0050025E"/>
    <w:rsid w:val="00575E00"/>
    <w:rsid w:val="005E77E7"/>
    <w:rsid w:val="005F4664"/>
    <w:rsid w:val="006010B7"/>
    <w:rsid w:val="006039B0"/>
    <w:rsid w:val="006264D5"/>
    <w:rsid w:val="00626C5D"/>
    <w:rsid w:val="006438F3"/>
    <w:rsid w:val="006736E7"/>
    <w:rsid w:val="00697F60"/>
    <w:rsid w:val="006B2E48"/>
    <w:rsid w:val="006F1C23"/>
    <w:rsid w:val="00712542"/>
    <w:rsid w:val="00717247"/>
    <w:rsid w:val="007C0139"/>
    <w:rsid w:val="007C42C0"/>
    <w:rsid w:val="007D7C56"/>
    <w:rsid w:val="007E5AF6"/>
    <w:rsid w:val="00802B5E"/>
    <w:rsid w:val="00862A21"/>
    <w:rsid w:val="00867EE0"/>
    <w:rsid w:val="008A53A6"/>
    <w:rsid w:val="008D5328"/>
    <w:rsid w:val="008D7675"/>
    <w:rsid w:val="00901B6F"/>
    <w:rsid w:val="00952F0C"/>
    <w:rsid w:val="009668AF"/>
    <w:rsid w:val="00986858"/>
    <w:rsid w:val="009A1470"/>
    <w:rsid w:val="009A2747"/>
    <w:rsid w:val="009A406E"/>
    <w:rsid w:val="00A13A4F"/>
    <w:rsid w:val="00A234F5"/>
    <w:rsid w:val="00A535CA"/>
    <w:rsid w:val="00A81F69"/>
    <w:rsid w:val="00AA2B16"/>
    <w:rsid w:val="00AF2EAA"/>
    <w:rsid w:val="00AF6AA2"/>
    <w:rsid w:val="00B22566"/>
    <w:rsid w:val="00B26B13"/>
    <w:rsid w:val="00B609F2"/>
    <w:rsid w:val="00B9710E"/>
    <w:rsid w:val="00BC210A"/>
    <w:rsid w:val="00BF06BC"/>
    <w:rsid w:val="00C0670F"/>
    <w:rsid w:val="00C4121E"/>
    <w:rsid w:val="00C526CA"/>
    <w:rsid w:val="00CA0D71"/>
    <w:rsid w:val="00CF03C8"/>
    <w:rsid w:val="00D154CD"/>
    <w:rsid w:val="00D723C1"/>
    <w:rsid w:val="00D7322E"/>
    <w:rsid w:val="00D73C31"/>
    <w:rsid w:val="00D80CE3"/>
    <w:rsid w:val="00D80D86"/>
    <w:rsid w:val="00E32A9C"/>
    <w:rsid w:val="00E864B6"/>
    <w:rsid w:val="00E95D89"/>
    <w:rsid w:val="00EA2016"/>
    <w:rsid w:val="00EB0333"/>
    <w:rsid w:val="00EB3620"/>
    <w:rsid w:val="00EB6389"/>
    <w:rsid w:val="00ED7C82"/>
    <w:rsid w:val="00EF1D5E"/>
    <w:rsid w:val="00F144A2"/>
    <w:rsid w:val="00F1634D"/>
    <w:rsid w:val="00F577D2"/>
    <w:rsid w:val="00F83DC7"/>
    <w:rsid w:val="00FA3970"/>
    <w:rsid w:val="00FB7946"/>
    <w:rsid w:val="00FC1FF4"/>
    <w:rsid w:val="00FF26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4389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table" w:styleId="a8">
    <w:name w:val="Table Grid"/>
    <w:basedOn w:val="a1"/>
    <w:uiPriority w:val="39"/>
    <w:rsid w:val="00057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057BB0"/>
    <w:pPr>
      <w:widowControl/>
      <w:numPr>
        <w:numId w:val="1"/>
      </w:numPr>
      <w:tabs>
        <w:tab w:val="clear" w:pos="1352"/>
        <w:tab w:val="num" w:pos="1619"/>
      </w:tabs>
      <w:spacing w:before="60"/>
      <w:ind w:left="1619"/>
      <w:jc w:val="left"/>
    </w:pPr>
    <w:rPr>
      <w:rFonts w:ascii="Arial" w:eastAsia="ＭＳ 明朝" w:hAnsi="Arial" w:cs="Times New Roman"/>
      <w:b/>
      <w:kern w:val="0"/>
      <w:sz w:val="20"/>
      <w:szCs w:val="24"/>
      <w:lang w:eastAsia="en-GB"/>
    </w:rPr>
  </w:style>
  <w:style w:type="paragraph" w:styleId="a9">
    <w:name w:val="List Paragraph"/>
    <w:basedOn w:val="a"/>
    <w:uiPriority w:val="34"/>
    <w:qFormat/>
    <w:rsid w:val="00057BB0"/>
    <w:pPr>
      <w:ind w:leftChars="400" w:left="840"/>
    </w:pPr>
  </w:style>
  <w:style w:type="paragraph" w:customStyle="1" w:styleId="Doc-text2">
    <w:name w:val="Doc-text2"/>
    <w:basedOn w:val="a"/>
    <w:link w:val="Doc-text2Char"/>
    <w:qFormat/>
    <w:rsid w:val="003B4394"/>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3B4394"/>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506</TotalTime>
  <Pages>3</Pages>
  <Words>1255</Words>
  <Characters>7156</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74</cp:revision>
  <dcterms:created xsi:type="dcterms:W3CDTF">2019-04-30T06:30:00Z</dcterms:created>
  <dcterms:modified xsi:type="dcterms:W3CDTF">2023-02-17T05:33:00Z</dcterms:modified>
</cp:coreProperties>
</file>